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both"/>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6</w:t>
      </w:r>
    </w:p>
    <w:p>
      <w:pPr>
        <w:pStyle w:val="15"/>
        <w:rPr>
          <w:rFonts w:hint="default" w:ascii="Times New Roman" w:hAnsi="Times New Roman" w:cs="Times New Roman"/>
          <w:sz w:val="32"/>
          <w:szCs w:val="32"/>
        </w:rPr>
      </w:pPr>
    </w:p>
    <w:p>
      <w:pPr>
        <w:pStyle w:val="15"/>
        <w:jc w:val="center"/>
        <w:rPr>
          <w:rFonts w:hint="eastAsia" w:ascii="方正小标宋简体" w:hAnsi="方正小标宋简体" w:eastAsia="方正小标宋简体" w:cs="方正小标宋简体"/>
          <w:lang w:eastAsia="zh-CN"/>
        </w:rPr>
      </w:pPr>
      <w:r>
        <w:rPr>
          <w:rFonts w:hint="eastAsia" w:ascii="方正小标宋简体" w:hAnsi="方正小标宋简体" w:eastAsia="方正小标宋简体" w:cs="方正小标宋简体"/>
        </w:rPr>
        <w:t>辽宁省结核病防治技能竞赛</w:t>
      </w:r>
      <w:r>
        <w:rPr>
          <w:rFonts w:hint="eastAsia" w:hAnsi="方正小标宋简体" w:cs="方正小标宋简体"/>
          <w:lang w:eastAsia="zh-CN"/>
        </w:rPr>
        <w:t>实施</w:t>
      </w:r>
      <w:r>
        <w:rPr>
          <w:rFonts w:hint="eastAsia" w:ascii="方正小标宋简体" w:hAnsi="方正小标宋简体" w:eastAsia="方正小标宋简体" w:cs="方正小标宋简体"/>
        </w:rPr>
        <w:t>方案</w:t>
      </w:r>
    </w:p>
    <w:p>
      <w:pPr>
        <w:ind w:left="0" w:leftChars="0" w:firstLine="0" w:firstLineChars="0"/>
      </w:pPr>
    </w:p>
    <w:p>
      <w:pPr>
        <w:pStyle w:val="2"/>
        <w:ind w:firstLine="640"/>
      </w:pPr>
      <w:r>
        <w:rPr>
          <w:rFonts w:hint="eastAsia"/>
        </w:rPr>
        <w:t>一、竞赛目的</w:t>
      </w:r>
    </w:p>
    <w:p>
      <w:pPr>
        <w:ind w:firstLine="640"/>
        <w:rPr>
          <w:rFonts w:hint="eastAsia" w:ascii="仿宋" w:hAnsi="仿宋" w:eastAsia="仿宋" w:cs="仿宋"/>
        </w:rPr>
      </w:pPr>
      <w:r>
        <w:rPr>
          <w:rFonts w:hint="eastAsia" w:ascii="仿宋" w:hAnsi="仿宋" w:eastAsia="仿宋" w:cs="仿宋"/>
        </w:rPr>
        <w:t>大力弘扬劳模精神、劳动精神、工匠精神和卫生健康崇高职业精神，营造全省结核病防治领域学知识、练本领、强技能、夯基础的浓厚氛围，以赛促学、以赛促练、以赛促用，激励广大结核病防治人员提升理论水平、业务技能和职业素养，选拔优秀选手组建辽宁代表队参加全国决赛，推动高素质结核病防治人才队伍建设，为实现终结结核病流行目标提供支撑保障，更好维护人民群众身体健康和生命安全。</w:t>
      </w:r>
    </w:p>
    <w:p>
      <w:pPr>
        <w:pStyle w:val="2"/>
        <w:ind w:firstLine="640"/>
      </w:pPr>
      <w:r>
        <w:rPr>
          <w:rFonts w:hint="eastAsia"/>
        </w:rPr>
        <w:t>二、组织机构</w:t>
      </w:r>
    </w:p>
    <w:p>
      <w:pPr>
        <w:ind w:firstLine="640"/>
        <w:rPr>
          <w:rFonts w:hint="eastAsia" w:ascii="仿宋" w:hAnsi="仿宋" w:eastAsia="仿宋" w:cs="仿宋"/>
        </w:rPr>
      </w:pPr>
      <w:r>
        <w:rPr>
          <w:rFonts w:hint="eastAsia" w:ascii="仿宋" w:hAnsi="仿宋" w:eastAsia="仿宋" w:cs="仿宋"/>
        </w:rPr>
        <w:t>本次竞赛在全省卫生健康系统职业技能竞赛组委会的组织领导下实施，具体工作由省疾控局、省卫生健康委、省总工会联合统筹，省疾病预防控制中心及省结核病医疗质量控制中心提供技术支撑。</w:t>
      </w:r>
    </w:p>
    <w:p>
      <w:pPr>
        <w:pStyle w:val="2"/>
        <w:ind w:firstLine="640"/>
      </w:pPr>
      <w:r>
        <w:rPr>
          <w:rFonts w:hint="eastAsia"/>
        </w:rPr>
        <w:t>三、竞赛内容</w:t>
      </w:r>
    </w:p>
    <w:p>
      <w:pPr>
        <w:ind w:firstLine="640"/>
        <w:rPr>
          <w:rFonts w:hint="eastAsia" w:ascii="仿宋" w:hAnsi="仿宋" w:eastAsia="仿宋" w:cs="仿宋"/>
        </w:rPr>
      </w:pPr>
      <w:r>
        <w:rPr>
          <w:rFonts w:hint="eastAsia" w:ascii="仿宋" w:hAnsi="仿宋" w:eastAsia="仿宋" w:cs="仿宋"/>
        </w:rPr>
        <w:t>对标全国竞赛考核范围，结合我省结核病防治工作实际，设置四大考核模块：</w:t>
      </w:r>
    </w:p>
    <w:p>
      <w:pPr>
        <w:ind w:firstLine="640"/>
      </w:pPr>
      <w:r>
        <w:rPr>
          <w:rStyle w:val="22"/>
          <w:rFonts w:hint="eastAsia"/>
        </w:rPr>
        <w:t>（一）基础理论。</w:t>
      </w:r>
      <w:r>
        <w:rPr>
          <w:rFonts w:hint="eastAsia" w:ascii="仿宋" w:hAnsi="仿宋" w:eastAsia="仿宋" w:cs="仿宋"/>
        </w:rPr>
        <w:t>涵盖结核病病原生物学、传播途径、发病机制、病理学及免疫学等。</w:t>
      </w:r>
    </w:p>
    <w:p>
      <w:pPr>
        <w:ind w:firstLine="640"/>
      </w:pPr>
      <w:r>
        <w:rPr>
          <w:rStyle w:val="22"/>
          <w:rFonts w:hint="eastAsia"/>
        </w:rPr>
        <w:t>（二）预防控制。</w:t>
      </w:r>
      <w:r>
        <w:rPr>
          <w:rFonts w:hint="eastAsia" w:ascii="仿宋" w:hAnsi="仿宋" w:eastAsia="仿宋" w:cs="仿宋"/>
        </w:rPr>
        <w:t>包括结核病流行特点、防治服务体系、法律法规、规划目标策略、疫情处置、登记报告、患者管理、健康促进、感染控制等。</w:t>
      </w:r>
    </w:p>
    <w:p>
      <w:pPr>
        <w:ind w:firstLine="640"/>
        <w:rPr>
          <w:rFonts w:hint="eastAsia" w:ascii="仿宋" w:hAnsi="仿宋" w:eastAsia="仿宋" w:cs="仿宋"/>
        </w:rPr>
      </w:pPr>
      <w:r>
        <w:rPr>
          <w:rStyle w:val="22"/>
          <w:rFonts w:hint="eastAsia"/>
        </w:rPr>
        <w:t>（三）实验室检测。</w:t>
      </w:r>
      <w:r>
        <w:rPr>
          <w:rFonts w:hint="eastAsia" w:ascii="仿宋" w:hAnsi="仿宋" w:eastAsia="仿宋" w:cs="仿宋"/>
        </w:rPr>
        <w:t>涉及结核病实验室检测流程、菌株运输、生物安全防护、痰涂片操作、分子生物学检测等技能规范。</w:t>
      </w:r>
    </w:p>
    <w:p>
      <w:pPr>
        <w:ind w:firstLine="640"/>
      </w:pPr>
      <w:r>
        <w:rPr>
          <w:rStyle w:val="22"/>
          <w:rFonts w:hint="eastAsia"/>
        </w:rPr>
        <w:t>（四）临床诊疗。</w:t>
      </w:r>
      <w:r>
        <w:rPr>
          <w:rFonts w:hint="eastAsia" w:ascii="仿宋" w:hAnsi="仿宋" w:eastAsia="仿宋" w:cs="仿宋"/>
        </w:rPr>
        <w:t>包含结核病诊断和鉴别诊断、治疗药物及分类、治疗方案与</w:t>
      </w:r>
      <w:r>
        <w:rPr>
          <w:rFonts w:hint="eastAsia" w:ascii="仿宋" w:hAnsi="仿宋" w:eastAsia="仿宋" w:cs="仿宋"/>
          <w:lang w:eastAsia="zh-CN"/>
        </w:rPr>
        <w:t>并发</w:t>
      </w:r>
      <w:r>
        <w:rPr>
          <w:rFonts w:hint="eastAsia" w:ascii="仿宋" w:hAnsi="仿宋" w:eastAsia="仿宋" w:cs="仿宋"/>
        </w:rPr>
        <w:t>症处理、药物不良反应、耐药结核病治疗、特殊人群治疗管理、胸部X线和CT诊断与判读、典型及疑难病例影像读片分析等。</w:t>
      </w:r>
    </w:p>
    <w:p>
      <w:pPr>
        <w:pStyle w:val="2"/>
        <w:ind w:firstLine="640"/>
      </w:pPr>
      <w:r>
        <w:rPr>
          <w:rFonts w:hint="eastAsia"/>
        </w:rPr>
        <w:t>四、参赛范围与组队要求</w:t>
      </w:r>
    </w:p>
    <w:p>
      <w:pPr>
        <w:pStyle w:val="3"/>
        <w:ind w:firstLine="640"/>
      </w:pPr>
      <w:r>
        <w:rPr>
          <w:rFonts w:hint="eastAsia"/>
        </w:rPr>
        <w:t>（一）参赛范围</w:t>
      </w:r>
    </w:p>
    <w:p>
      <w:pPr>
        <w:ind w:firstLine="640"/>
        <w:rPr>
          <w:rFonts w:hint="eastAsia" w:ascii="仿宋" w:hAnsi="仿宋" w:eastAsia="仿宋" w:cs="仿宋"/>
        </w:rPr>
      </w:pPr>
      <w:r>
        <w:rPr>
          <w:rFonts w:hint="eastAsia" w:ascii="仿宋" w:hAnsi="仿宋" w:eastAsia="仿宋" w:cs="仿宋"/>
        </w:rPr>
        <w:t>全省各级疾控机构、定点医疗机构、基层医疗卫生机构专业技术人员。</w:t>
      </w:r>
    </w:p>
    <w:p>
      <w:pPr>
        <w:ind w:firstLine="640"/>
        <w:rPr>
          <w:rFonts w:hint="eastAsia" w:ascii="仿宋" w:hAnsi="仿宋" w:eastAsia="仿宋" w:cs="仿宋"/>
        </w:rPr>
      </w:pPr>
      <w:r>
        <w:rPr>
          <w:rFonts w:hint="eastAsia" w:ascii="仿宋" w:hAnsi="仿宋" w:eastAsia="仿宋" w:cs="仿宋"/>
        </w:rPr>
        <w:t>参赛人员具体要求如下：</w:t>
      </w:r>
    </w:p>
    <w:p>
      <w:pPr>
        <w:ind w:firstLine="640"/>
        <w:rPr>
          <w:rFonts w:hint="eastAsia" w:ascii="仿宋" w:hAnsi="仿宋" w:eastAsia="仿宋" w:cs="仿宋"/>
        </w:rPr>
      </w:pPr>
      <w:r>
        <w:rPr>
          <w:rFonts w:hint="eastAsia" w:ascii="仿宋" w:hAnsi="仿宋" w:eastAsia="仿宋" w:cs="仿宋"/>
        </w:rPr>
        <w:t>1.具有良好的思想政治素质和优良的道德品质，既往无违法违纪情况。</w:t>
      </w:r>
    </w:p>
    <w:p>
      <w:pPr>
        <w:ind w:firstLine="640"/>
        <w:rPr>
          <w:rFonts w:hint="eastAsia" w:ascii="仿宋" w:hAnsi="仿宋" w:eastAsia="仿宋" w:cs="仿宋"/>
        </w:rPr>
      </w:pPr>
      <w:r>
        <w:rPr>
          <w:rFonts w:hint="eastAsia" w:ascii="仿宋" w:hAnsi="仿宋" w:eastAsia="仿宋" w:cs="仿宋"/>
        </w:rPr>
        <w:t>2.为本单位在岗在编正式工作人员。</w:t>
      </w:r>
    </w:p>
    <w:p>
      <w:pPr>
        <w:ind w:firstLine="640"/>
        <w:rPr>
          <w:rFonts w:hint="eastAsia" w:ascii="仿宋" w:hAnsi="仿宋" w:eastAsia="仿宋" w:cs="仿宋"/>
        </w:rPr>
      </w:pPr>
      <w:r>
        <w:rPr>
          <w:rFonts w:hint="eastAsia" w:ascii="仿宋" w:hAnsi="仿宋" w:eastAsia="仿宋" w:cs="仿宋"/>
        </w:rPr>
        <w:t>3.从事结核病相关工作年限不少于3年（截至2026年1月1日）。</w:t>
      </w:r>
    </w:p>
    <w:p>
      <w:pPr>
        <w:ind w:firstLine="640"/>
        <w:rPr>
          <w:rFonts w:hint="eastAsia" w:ascii="仿宋" w:hAnsi="仿宋" w:eastAsia="仿宋" w:cs="仿宋"/>
        </w:rPr>
      </w:pPr>
      <w:r>
        <w:rPr>
          <w:rFonts w:hint="eastAsia" w:ascii="仿宋" w:hAnsi="仿宋" w:eastAsia="仿宋" w:cs="仿宋"/>
        </w:rPr>
        <w:t>4.从事结核病诊疗的专业技术人员应具备相应执业医师资格。</w:t>
      </w:r>
    </w:p>
    <w:p>
      <w:pPr>
        <w:pStyle w:val="3"/>
        <w:ind w:firstLine="640"/>
      </w:pPr>
      <w:r>
        <w:rPr>
          <w:rFonts w:hint="eastAsia"/>
        </w:rPr>
        <w:t>（二）组队要求</w:t>
      </w:r>
    </w:p>
    <w:p>
      <w:pPr>
        <w:ind w:firstLine="640"/>
        <w:rPr>
          <w:rFonts w:hint="eastAsia" w:ascii="仿宋" w:hAnsi="仿宋" w:eastAsia="仿宋" w:cs="仿宋"/>
        </w:rPr>
      </w:pPr>
      <w:r>
        <w:rPr>
          <w:rFonts w:hint="eastAsia" w:ascii="仿宋" w:hAnsi="仿宋" w:eastAsia="仿宋" w:cs="仿宋"/>
        </w:rPr>
        <w:t>1.初赛阶段：各市自行组织辖区内选拔，队伍人数根据实际情况确定，鼓励覆盖县区级、基层医疗卫生机构人员。</w:t>
      </w:r>
    </w:p>
    <w:p>
      <w:pPr>
        <w:ind w:firstLine="640"/>
        <w:rPr>
          <w:rFonts w:hint="eastAsia" w:ascii="仿宋" w:hAnsi="仿宋" w:eastAsia="仿宋" w:cs="仿宋"/>
        </w:rPr>
      </w:pPr>
      <w:r>
        <w:rPr>
          <w:rFonts w:hint="eastAsia" w:ascii="仿宋" w:hAnsi="仿宋" w:eastAsia="仿宋" w:cs="仿宋"/>
        </w:rPr>
        <w:t>2.决赛阶段：以市为单位组队参加省级决赛，每支代表队由领队1名、参赛队员</w:t>
      </w:r>
      <w:r>
        <w:rPr>
          <w:rFonts w:hint="eastAsia" w:ascii="仿宋" w:hAnsi="仿宋" w:eastAsia="仿宋" w:cs="仿宋"/>
          <w:lang w:val="en-US" w:eastAsia="zh-CN"/>
        </w:rPr>
        <w:t>6</w:t>
      </w:r>
      <w:r>
        <w:rPr>
          <w:rFonts w:hint="eastAsia" w:ascii="仿宋" w:hAnsi="仿宋" w:eastAsia="仿宋" w:cs="仿宋"/>
        </w:rPr>
        <w:t>名组成。领队由各市</w:t>
      </w:r>
      <w:r>
        <w:rPr>
          <w:rFonts w:hint="eastAsia" w:ascii="仿宋" w:hAnsi="仿宋" w:eastAsia="仿宋" w:cs="仿宋"/>
          <w:lang w:eastAsia="zh-CN"/>
        </w:rPr>
        <w:t>卫生健康委（疾控局）疾控处（科）长担任</w:t>
      </w: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名参赛队员分两组：预防控制组</w:t>
      </w:r>
      <w:r>
        <w:rPr>
          <w:rFonts w:hint="eastAsia" w:ascii="仿宋" w:hAnsi="仿宋" w:eastAsia="仿宋" w:cs="仿宋"/>
          <w:lang w:val="en-US" w:eastAsia="zh-CN"/>
        </w:rPr>
        <w:t>3</w:t>
      </w:r>
      <w:r>
        <w:rPr>
          <w:rFonts w:hint="eastAsia" w:ascii="仿宋" w:hAnsi="仿宋" w:eastAsia="仿宋" w:cs="仿宋"/>
        </w:rPr>
        <w:t>人（均为日常从事结核病防控工作的专业技术人员，至少1人来自县区级），临床诊疗组</w:t>
      </w:r>
      <w:r>
        <w:rPr>
          <w:rFonts w:hint="eastAsia" w:ascii="仿宋" w:hAnsi="仿宋" w:eastAsia="仿宋" w:cs="仿宋"/>
          <w:lang w:val="en-US" w:eastAsia="zh-CN"/>
        </w:rPr>
        <w:t>3</w:t>
      </w:r>
      <w:r>
        <w:rPr>
          <w:rFonts w:hint="eastAsia" w:ascii="仿宋" w:hAnsi="仿宋" w:eastAsia="仿宋" w:cs="仿宋"/>
        </w:rPr>
        <w:t>人（均为日常从事结核病诊疗工作的专业技术人员，至少1人来自县区级）。</w:t>
      </w:r>
    </w:p>
    <w:p>
      <w:pPr>
        <w:ind w:firstLine="640"/>
        <w:rPr>
          <w:rFonts w:hint="eastAsia" w:ascii="仿宋" w:hAnsi="仿宋" w:eastAsia="仿宋" w:cs="仿宋"/>
        </w:rPr>
      </w:pPr>
      <w:r>
        <w:rPr>
          <w:rFonts w:hint="eastAsia" w:ascii="仿宋" w:hAnsi="仿宋" w:eastAsia="仿宋" w:cs="仿宋"/>
        </w:rPr>
        <w:t>3.全国决赛选拔：从省级决赛优秀选手中选拔6人（预防控制组、临床诊疗组各3人，均至少含1名县区级人员，同一单位不超过1人），组建辽宁省代表队参加全国决赛。</w:t>
      </w:r>
    </w:p>
    <w:p>
      <w:pPr>
        <w:pStyle w:val="2"/>
        <w:ind w:firstLine="640"/>
      </w:pPr>
      <w:r>
        <w:rPr>
          <w:rFonts w:hint="eastAsia"/>
        </w:rPr>
        <w:t>五、组织形式</w:t>
      </w:r>
    </w:p>
    <w:p>
      <w:pPr>
        <w:ind w:firstLine="640"/>
        <w:rPr>
          <w:highlight w:val="none"/>
        </w:rPr>
      </w:pPr>
      <w:r>
        <w:rPr>
          <w:rFonts w:hint="eastAsia" w:ascii="仿宋" w:hAnsi="仿宋" w:eastAsia="仿宋" w:cs="仿宋"/>
        </w:rPr>
        <w:t>竞赛分初</w:t>
      </w:r>
      <w:r>
        <w:rPr>
          <w:rFonts w:hint="eastAsia" w:ascii="仿宋" w:hAnsi="仿宋" w:eastAsia="仿宋" w:cs="仿宋"/>
          <w:highlight w:val="none"/>
        </w:rPr>
        <w:t>赛、省级决赛两个阶段，2026年9月30日前完成全部省级选拔工作。</w:t>
      </w:r>
    </w:p>
    <w:p>
      <w:pPr>
        <w:pStyle w:val="3"/>
        <w:ind w:firstLine="640"/>
        <w:rPr>
          <w:highlight w:val="none"/>
        </w:rPr>
      </w:pPr>
      <w:r>
        <w:rPr>
          <w:rFonts w:hint="eastAsia"/>
          <w:highlight w:val="none"/>
        </w:rPr>
        <w:t>（一）初赛（2026年</w:t>
      </w:r>
      <w:r>
        <w:rPr>
          <w:rFonts w:hint="eastAsia"/>
          <w:highlight w:val="none"/>
          <w:lang w:val="en-US" w:eastAsia="zh-CN"/>
        </w:rPr>
        <w:t>8</w:t>
      </w:r>
      <w:r>
        <w:rPr>
          <w:rFonts w:hint="eastAsia"/>
          <w:highlight w:val="none"/>
        </w:rPr>
        <w:t>月）</w:t>
      </w:r>
    </w:p>
    <w:p>
      <w:pPr>
        <w:ind w:firstLine="640"/>
        <w:rPr>
          <w:highlight w:val="none"/>
        </w:rPr>
      </w:pPr>
      <w:r>
        <w:rPr>
          <w:rFonts w:hint="eastAsia"/>
          <w:highlight w:val="none"/>
        </w:rPr>
        <w:t>由各市</w:t>
      </w:r>
      <w:r>
        <w:rPr>
          <w:rFonts w:hint="eastAsia"/>
          <w:highlight w:val="none"/>
          <w:lang w:eastAsia="zh-CN"/>
        </w:rPr>
        <w:t>卫生健康委（疾控局）</w:t>
      </w:r>
      <w:r>
        <w:rPr>
          <w:rFonts w:hint="eastAsia"/>
          <w:highlight w:val="none"/>
        </w:rPr>
        <w:t>、总工会联合组织实施，参照省级决赛奖项设置本地奖项，扩大竞赛覆盖面，组织一线专业人员广泛参与。</w:t>
      </w:r>
    </w:p>
    <w:p>
      <w:pPr>
        <w:ind w:firstLine="640"/>
        <w:rPr>
          <w:highlight w:val="none"/>
        </w:rPr>
      </w:pPr>
      <w:r>
        <w:rPr>
          <w:rFonts w:hint="eastAsia"/>
          <w:highlight w:val="none"/>
        </w:rPr>
        <w:t>各地需结合本地实际确定初赛形式，可涵盖理论笔试、技能操作、案例分析等环节，确保选拔出业务水平过硬的选手。</w:t>
      </w:r>
    </w:p>
    <w:p>
      <w:pPr>
        <w:pStyle w:val="3"/>
        <w:ind w:firstLine="640"/>
        <w:rPr>
          <w:highlight w:val="none"/>
        </w:rPr>
      </w:pPr>
      <w:r>
        <w:rPr>
          <w:rFonts w:hint="eastAsia"/>
          <w:highlight w:val="none"/>
        </w:rPr>
        <w:t>（二）省级决赛（2026年8月至9月）</w:t>
      </w:r>
    </w:p>
    <w:p>
      <w:pPr>
        <w:ind w:firstLine="640"/>
        <w:rPr>
          <w:rFonts w:hint="eastAsia" w:ascii="仿宋" w:hAnsi="仿宋" w:eastAsia="仿宋" w:cs="仿宋"/>
        </w:rPr>
      </w:pPr>
      <w:r>
        <w:rPr>
          <w:rFonts w:hint="eastAsia" w:ascii="仿宋" w:hAnsi="仿宋" w:eastAsia="仿宋" w:cs="仿宋"/>
        </w:rPr>
        <w:t>由省疾控局、省卫生健康委、省总工会联合组织，具体安排另行通知。</w:t>
      </w:r>
    </w:p>
    <w:p>
      <w:pPr>
        <w:ind w:firstLine="640"/>
        <w:rPr>
          <w:rFonts w:hint="eastAsia" w:ascii="仿宋" w:hAnsi="仿宋" w:eastAsia="仿宋" w:cs="仿宋"/>
        </w:rPr>
      </w:pPr>
      <w:r>
        <w:rPr>
          <w:rFonts w:hint="eastAsia" w:ascii="仿宋" w:hAnsi="仿宋" w:eastAsia="仿宋" w:cs="仿宋"/>
        </w:rPr>
        <w:t>1.理论笔试：所有参赛队员均需参加理论笔试，统一试卷，题型为单选题、多选题和判断题，重点考核基础理论掌握程度。</w:t>
      </w:r>
    </w:p>
    <w:p>
      <w:pPr>
        <w:ind w:firstLine="640"/>
      </w:pPr>
      <w:r>
        <w:rPr>
          <w:rFonts w:hint="eastAsia" w:ascii="仿宋" w:hAnsi="仿宋" w:eastAsia="仿宋" w:cs="仿宋"/>
        </w:rPr>
        <w:t>2.实践技能：分预防控制组、临床诊疗组两套试题，重点考核影像鉴别、病例诊治、案例分析等。</w:t>
      </w:r>
    </w:p>
    <w:p>
      <w:pPr>
        <w:pStyle w:val="2"/>
        <w:ind w:firstLine="640"/>
      </w:pPr>
      <w:r>
        <w:rPr>
          <w:rFonts w:hint="eastAsia"/>
        </w:rPr>
        <w:t>六、奖项设置</w:t>
      </w:r>
    </w:p>
    <w:p>
      <w:pPr>
        <w:pStyle w:val="3"/>
        <w:ind w:firstLine="640"/>
      </w:pPr>
      <w:r>
        <w:rPr>
          <w:rFonts w:hint="eastAsia"/>
        </w:rPr>
        <w:t>（一）个人奖项</w:t>
      </w:r>
    </w:p>
    <w:p>
      <w:pPr>
        <w:ind w:firstLine="640"/>
        <w:rPr>
          <w:rFonts w:hint="eastAsia" w:ascii="仿宋" w:hAnsi="仿宋" w:eastAsia="仿宋" w:cs="仿宋"/>
          <w:highlight w:val="none"/>
        </w:rPr>
      </w:pPr>
      <w:r>
        <w:rPr>
          <w:rFonts w:hint="eastAsia" w:ascii="仿宋" w:hAnsi="仿宋" w:eastAsia="仿宋" w:cs="仿宋"/>
          <w:highlight w:val="none"/>
          <w:lang w:val="en-US" w:eastAsia="zh-CN"/>
        </w:rPr>
        <w:t>1</w:t>
      </w:r>
      <w:r>
        <w:rPr>
          <w:rFonts w:hint="eastAsia" w:ascii="仿宋" w:hAnsi="仿宋" w:eastAsia="仿宋" w:cs="仿宋"/>
          <w:highlight w:val="none"/>
        </w:rPr>
        <w:t>.预防控制组和临床诊疗组各设个人成绩第1名为个人一等奖，第2—3名为个人二等奖，第4—6名为个人三等奖，第7—10名为个人优秀奖。</w:t>
      </w:r>
    </w:p>
    <w:p>
      <w:pPr>
        <w:ind w:firstLine="640"/>
        <w:rPr>
          <w:rFonts w:hint="eastAsia" w:ascii="仿宋" w:hAnsi="仿宋" w:eastAsia="仿宋" w:cs="仿宋"/>
          <w:highlight w:val="none"/>
          <w:lang w:eastAsia="zh-CN"/>
        </w:rPr>
      </w:pPr>
      <w:r>
        <w:rPr>
          <w:rFonts w:hint="eastAsia" w:ascii="仿宋" w:hAnsi="仿宋" w:eastAsia="仿宋" w:cs="仿宋"/>
          <w:highlight w:val="none"/>
          <w:lang w:val="en-US" w:eastAsia="zh-CN"/>
        </w:rPr>
        <w:t>2</w:t>
      </w:r>
      <w:r>
        <w:rPr>
          <w:rFonts w:hint="eastAsia" w:ascii="仿宋" w:hAnsi="仿宋" w:eastAsia="仿宋" w:cs="仿宋"/>
          <w:highlight w:val="none"/>
        </w:rPr>
        <w:t>.设置单项奖：根据个人理论笔试和实践技能成绩，分别统计各组前10名，颁发“预防控制组理论知识奖”“预防控制组实践技能奖”“临床诊疗组理论知识奖”“临床诊疗组实践技能奖”，成绩并列时由评委组判定。</w:t>
      </w:r>
    </w:p>
    <w:p>
      <w:pPr>
        <w:pStyle w:val="3"/>
        <w:ind w:firstLine="640"/>
        <w:rPr>
          <w:highlight w:val="none"/>
        </w:rPr>
      </w:pPr>
      <w:r>
        <w:rPr>
          <w:rFonts w:hint="eastAsia"/>
          <w:highlight w:val="none"/>
        </w:rPr>
        <w:t>（二）团体奖项</w:t>
      </w:r>
    </w:p>
    <w:p>
      <w:pPr>
        <w:ind w:firstLine="640"/>
        <w:rPr>
          <w:rFonts w:hint="eastAsia"/>
        </w:rPr>
      </w:pPr>
      <w:r>
        <w:rPr>
          <w:rFonts w:hint="eastAsia" w:ascii="仿宋" w:hAnsi="仿宋" w:eastAsia="仿宋" w:cs="仿宋"/>
          <w:highlight w:val="none"/>
        </w:rPr>
        <w:t>根据各参赛队伍决赛团体成绩，团体成绩</w:t>
      </w:r>
      <w:r>
        <w:rPr>
          <w:rFonts w:hint="eastAsia" w:ascii="仿宋" w:hAnsi="仿宋" w:eastAsia="仿宋" w:cs="仿宋"/>
        </w:rPr>
        <w:t>第1名为团体一等奖，第2—3名为团体二等奖，第4—6名为团体三等奖，第7—14名为团体优秀奖。</w:t>
      </w:r>
    </w:p>
    <w:p>
      <w:pPr>
        <w:pStyle w:val="2"/>
        <w:ind w:firstLine="640"/>
      </w:pPr>
      <w:r>
        <w:rPr>
          <w:rFonts w:hint="eastAsia"/>
        </w:rPr>
        <w:t>七、工作要求</w:t>
      </w:r>
    </w:p>
    <w:p>
      <w:pPr>
        <w:ind w:firstLine="640"/>
        <w:rPr>
          <w:rFonts w:hint="eastAsia" w:ascii="仿宋" w:hAnsi="仿宋" w:eastAsia="仿宋" w:cs="仿宋"/>
        </w:rPr>
      </w:pPr>
      <w:r>
        <w:rPr>
          <w:rFonts w:hint="eastAsia" w:ascii="仿宋" w:hAnsi="仿宋" w:eastAsia="仿宋" w:cs="仿宋"/>
        </w:rPr>
        <w:t>（一）各地要充分认识本次竞赛对提升全省结核病防治能力的重要意义，以竞赛为契机组织开展全员培训练兵活动，重点加强县区级、基层医疗卫生机构人员技能提升，确保选拔出能代表辽宁最高水平的参赛队伍。</w:t>
      </w:r>
    </w:p>
    <w:p>
      <w:pPr>
        <w:ind w:firstLine="640"/>
        <w:rPr>
          <w:rFonts w:hint="eastAsia" w:ascii="仿宋" w:hAnsi="仿宋" w:eastAsia="仿宋" w:cs="仿宋"/>
          <w:highlight w:val="none"/>
        </w:rPr>
      </w:pPr>
      <w:r>
        <w:rPr>
          <w:rFonts w:hint="eastAsia" w:ascii="仿宋" w:hAnsi="仿宋" w:eastAsia="仿宋" w:cs="仿宋"/>
        </w:rPr>
        <w:t>（二）各市</w:t>
      </w:r>
      <w:r>
        <w:rPr>
          <w:rFonts w:hint="eastAsia" w:ascii="仿宋" w:hAnsi="仿宋" w:eastAsia="仿宋" w:cs="仿宋"/>
          <w:lang w:eastAsia="zh-CN"/>
        </w:rPr>
        <w:t>卫生</w:t>
      </w:r>
      <w:r>
        <w:rPr>
          <w:rFonts w:hint="eastAsia" w:ascii="仿宋" w:hAnsi="仿宋" w:eastAsia="仿宋" w:cs="仿宋"/>
          <w:highlight w:val="none"/>
          <w:lang w:eastAsia="zh-CN"/>
        </w:rPr>
        <w:t>健康委（疾控局）</w:t>
      </w:r>
      <w:r>
        <w:rPr>
          <w:rFonts w:hint="eastAsia" w:ascii="仿宋" w:hAnsi="仿宋" w:eastAsia="仿宋" w:cs="仿宋"/>
          <w:highlight w:val="none"/>
        </w:rPr>
        <w:t>要会同总工会于2026年</w:t>
      </w:r>
      <w:r>
        <w:rPr>
          <w:rFonts w:hint="eastAsia" w:ascii="仿宋" w:hAnsi="仿宋" w:eastAsia="仿宋" w:cs="仿宋"/>
          <w:highlight w:val="none"/>
          <w:lang w:val="en-US" w:eastAsia="zh-CN"/>
        </w:rPr>
        <w:t>8</w:t>
      </w:r>
      <w:r>
        <w:rPr>
          <w:rFonts w:hint="eastAsia" w:ascii="仿宋" w:hAnsi="仿宋" w:eastAsia="仿宋" w:cs="仿宋"/>
          <w:highlight w:val="none"/>
        </w:rPr>
        <w:t>月</w:t>
      </w:r>
      <w:r>
        <w:rPr>
          <w:rFonts w:hint="eastAsia" w:ascii="仿宋" w:hAnsi="仿宋" w:eastAsia="仿宋" w:cs="仿宋"/>
          <w:highlight w:val="none"/>
          <w:lang w:val="en-US" w:eastAsia="zh-CN"/>
        </w:rPr>
        <w:t>15</w:t>
      </w:r>
      <w:r>
        <w:rPr>
          <w:rFonts w:hint="eastAsia" w:ascii="仿宋" w:hAnsi="仿宋" w:eastAsia="仿宋" w:cs="仿宋"/>
          <w:highlight w:val="none"/>
        </w:rPr>
        <w:t>日前完成初赛，并将初赛方案、选拔结果</w:t>
      </w:r>
      <w:r>
        <w:rPr>
          <w:rFonts w:hint="eastAsia" w:ascii="仿宋" w:hAnsi="仿宋" w:eastAsia="仿宋" w:cs="仿宋"/>
          <w:highlight w:val="none"/>
          <w:lang w:eastAsia="zh-CN"/>
        </w:rPr>
        <w:t>、</w:t>
      </w:r>
      <w:r>
        <w:rPr>
          <w:rFonts w:hint="eastAsia" w:ascii="仿宋" w:hAnsi="仿宋" w:eastAsia="仿宋" w:cs="仿宋"/>
          <w:highlight w:val="none"/>
        </w:rPr>
        <w:t>初赛总结</w:t>
      </w:r>
      <w:r>
        <w:rPr>
          <w:rFonts w:hint="eastAsia" w:ascii="仿宋" w:hAnsi="仿宋" w:eastAsia="仿宋" w:cs="仿宋"/>
          <w:highlight w:val="none"/>
          <w:lang w:eastAsia="zh-CN"/>
        </w:rPr>
        <w:t>及竞赛报名表（附件）</w:t>
      </w:r>
      <w:r>
        <w:rPr>
          <w:rFonts w:hint="eastAsia" w:ascii="仿宋" w:hAnsi="仿宋" w:eastAsia="仿宋" w:cs="仿宋"/>
          <w:highlight w:val="none"/>
        </w:rPr>
        <w:t>报送至省疾控局</w:t>
      </w:r>
      <w:r>
        <w:rPr>
          <w:rFonts w:hint="eastAsia" w:ascii="仿宋" w:hAnsi="仿宋" w:eastAsia="仿宋" w:cs="仿宋"/>
          <w:highlight w:val="none"/>
          <w:lang w:eastAsia="zh-CN"/>
        </w:rPr>
        <w:t>指定邮箱</w:t>
      </w:r>
      <w:r>
        <w:rPr>
          <w:rFonts w:hint="eastAsia" w:ascii="仿宋" w:hAnsi="仿宋" w:eastAsia="仿宋" w:cs="仿宋"/>
          <w:highlight w:val="none"/>
        </w:rPr>
        <w:t>。</w:t>
      </w:r>
    </w:p>
    <w:p>
      <w:pPr>
        <w:ind w:firstLine="640"/>
        <w:rPr>
          <w:rFonts w:hint="eastAsia" w:ascii="仿宋" w:hAnsi="仿宋" w:eastAsia="仿宋" w:cs="仿宋"/>
        </w:rPr>
      </w:pPr>
      <w:r>
        <w:rPr>
          <w:rFonts w:hint="eastAsia" w:ascii="仿宋" w:hAnsi="仿宋" w:eastAsia="仿宋" w:cs="仿宋"/>
          <w:highlight w:val="none"/>
        </w:rPr>
        <w:t>（三）各地要建立回避机制，</w:t>
      </w:r>
      <w:r>
        <w:rPr>
          <w:rFonts w:hint="eastAsia" w:ascii="仿宋" w:hAnsi="仿宋" w:eastAsia="仿宋" w:cs="仿宋"/>
        </w:rPr>
        <w:t>竞赛命题、评判过程全程保密，提高竞赛质量。严格遵守中央八项规定及其实施细则精神，节俭办赛、廉洁办赛。</w:t>
      </w:r>
    </w:p>
    <w:p>
      <w:pPr>
        <w:ind w:firstLine="640"/>
        <w:rPr>
          <w:rFonts w:hint="eastAsia" w:ascii="仿宋" w:hAnsi="仿宋" w:eastAsia="仿宋" w:cs="仿宋"/>
        </w:rPr>
      </w:pPr>
      <w:r>
        <w:rPr>
          <w:rFonts w:hint="eastAsia" w:ascii="仿宋" w:hAnsi="仿宋" w:eastAsia="仿宋" w:cs="仿宋"/>
        </w:rPr>
        <w:t>（四）充分利用本地媒体、</w:t>
      </w:r>
      <w:r>
        <w:rPr>
          <w:rFonts w:hint="eastAsia" w:ascii="仿宋" w:hAnsi="仿宋" w:eastAsia="仿宋" w:cs="仿宋"/>
          <w:lang w:eastAsia="zh-CN"/>
        </w:rPr>
        <w:t>卫生健康（疾控）</w:t>
      </w:r>
      <w:r>
        <w:rPr>
          <w:rFonts w:hint="eastAsia" w:ascii="仿宋" w:hAnsi="仿宋" w:eastAsia="仿宋" w:cs="仿宋"/>
        </w:rPr>
        <w:t>系统宣传平台全过程宣传竞赛亮点，及时将竞赛信息、典型经验以简报形式报送省疾控局。</w:t>
      </w:r>
    </w:p>
    <w:p>
      <w:pPr>
        <w:pStyle w:val="2"/>
        <w:ind w:firstLine="640"/>
      </w:pPr>
      <w:r>
        <w:rPr>
          <w:rFonts w:hint="eastAsia"/>
        </w:rPr>
        <w:t>八、联系方式</w:t>
      </w:r>
    </w:p>
    <w:p>
      <w:pPr>
        <w:pStyle w:val="3"/>
        <w:bidi w:val="0"/>
      </w:pPr>
      <w:r>
        <w:rPr>
          <w:rFonts w:hint="eastAsia"/>
        </w:rPr>
        <w:t>（一）辽宁省疾控局传防处</w:t>
      </w:r>
    </w:p>
    <w:p>
      <w:pPr>
        <w:ind w:firstLine="640"/>
        <w:rPr>
          <w:rFonts w:hint="eastAsia" w:ascii="仿宋" w:hAnsi="仿宋" w:eastAsia="仿宋" w:cs="仿宋"/>
          <w:lang w:eastAsia="zh-CN"/>
        </w:rPr>
      </w:pPr>
      <w:r>
        <w:rPr>
          <w:rFonts w:hint="eastAsia" w:ascii="仿宋" w:hAnsi="仿宋" w:eastAsia="仿宋" w:cs="仿宋"/>
        </w:rPr>
        <w:t>联系人：</w:t>
      </w:r>
      <w:r>
        <w:rPr>
          <w:rFonts w:hint="eastAsia" w:ascii="仿宋" w:hAnsi="仿宋" w:eastAsia="仿宋" w:cs="仿宋"/>
          <w:lang w:eastAsia="zh-CN"/>
        </w:rPr>
        <w:t>李澳琳</w:t>
      </w:r>
    </w:p>
    <w:p>
      <w:pPr>
        <w:ind w:firstLine="640"/>
        <w:rPr>
          <w:rFonts w:hint="eastAsia" w:ascii="仿宋" w:hAnsi="仿宋" w:eastAsia="仿宋" w:cs="仿宋"/>
          <w:lang w:val="en-US" w:eastAsia="zh-CN"/>
        </w:rPr>
      </w:pPr>
      <w:r>
        <w:rPr>
          <w:rFonts w:hint="eastAsia" w:ascii="仿宋" w:hAnsi="仿宋" w:eastAsia="仿宋" w:cs="仿宋"/>
        </w:rPr>
        <w:t>电话：</w:t>
      </w:r>
      <w:r>
        <w:rPr>
          <w:rFonts w:hint="eastAsia" w:ascii="仿宋" w:hAnsi="仿宋" w:eastAsia="仿宋" w:cs="仿宋"/>
          <w:lang w:val="en-US" w:eastAsia="zh-CN"/>
        </w:rPr>
        <w:t>024-81535820</w:t>
      </w:r>
    </w:p>
    <w:p>
      <w:pPr>
        <w:ind w:firstLine="640"/>
        <w:rPr>
          <w:rFonts w:hint="eastAsia" w:ascii="仿宋" w:hAnsi="仿宋" w:eastAsia="仿宋" w:cs="仿宋"/>
          <w:lang w:val="en-US" w:eastAsia="zh-CN"/>
        </w:rPr>
      </w:pPr>
      <w:r>
        <w:rPr>
          <w:rFonts w:hint="eastAsia" w:ascii="仿宋" w:hAnsi="仿宋" w:eastAsia="仿宋" w:cs="仿宋"/>
        </w:rPr>
        <w:t>邮箱：</w:t>
      </w:r>
      <w:r>
        <w:rPr>
          <w:rFonts w:hint="eastAsia" w:ascii="仿宋" w:hAnsi="仿宋" w:eastAsia="仿宋" w:cs="仿宋"/>
          <w:lang w:val="en-US" w:eastAsia="zh-CN"/>
        </w:rPr>
        <w:t>chuanfangchu2024@163.com</w:t>
      </w:r>
    </w:p>
    <w:p>
      <w:pPr>
        <w:pStyle w:val="3"/>
        <w:bidi w:val="0"/>
      </w:pPr>
      <w:r>
        <w:rPr>
          <w:rFonts w:hint="eastAsia"/>
        </w:rPr>
        <w:t>（</w:t>
      </w:r>
      <w:r>
        <w:rPr>
          <w:rFonts w:hint="eastAsia"/>
          <w:lang w:eastAsia="zh-CN"/>
        </w:rPr>
        <w:t>二</w:t>
      </w:r>
      <w:r>
        <w:rPr>
          <w:rFonts w:hint="eastAsia"/>
        </w:rPr>
        <w:t>）辽宁省疾病预防控制中心</w:t>
      </w:r>
    </w:p>
    <w:p>
      <w:pPr>
        <w:ind w:firstLine="640"/>
        <w:rPr>
          <w:rFonts w:hint="eastAsia" w:ascii="仿宋" w:hAnsi="仿宋" w:eastAsia="仿宋" w:cs="仿宋"/>
          <w:lang w:eastAsia="zh-CN"/>
        </w:rPr>
      </w:pPr>
      <w:r>
        <w:rPr>
          <w:rFonts w:hint="eastAsia" w:ascii="仿宋" w:hAnsi="仿宋" w:eastAsia="仿宋" w:cs="仿宋"/>
        </w:rPr>
        <w:t>联系人：</w:t>
      </w:r>
      <w:r>
        <w:rPr>
          <w:rFonts w:hint="eastAsia" w:ascii="仿宋" w:hAnsi="仿宋" w:eastAsia="仿宋" w:cs="仿宋"/>
          <w:lang w:eastAsia="zh-CN"/>
        </w:rPr>
        <w:t>王子江</w:t>
      </w:r>
    </w:p>
    <w:p>
      <w:pPr>
        <w:ind w:firstLine="640"/>
        <w:rPr>
          <w:rFonts w:hint="eastAsia" w:ascii="仿宋" w:hAnsi="仿宋" w:eastAsia="仿宋" w:cs="仿宋"/>
        </w:rPr>
      </w:pPr>
      <w:r>
        <w:rPr>
          <w:rFonts w:hint="eastAsia" w:ascii="仿宋" w:hAnsi="仿宋" w:eastAsia="仿宋" w:cs="仿宋"/>
        </w:rPr>
        <w:t>电话：19904029213</w:t>
      </w:r>
    </w:p>
    <w:p>
      <w:pPr>
        <w:ind w:firstLine="640"/>
        <w:rPr>
          <w:rFonts w:hint="eastAsia"/>
        </w:rPr>
      </w:pPr>
    </w:p>
    <w:p>
      <w:pPr>
        <w:ind w:firstLine="640"/>
        <w:rPr>
          <w:rFonts w:hint="eastAsia" w:ascii="仿宋" w:hAnsi="仿宋" w:eastAsia="仿宋" w:cs="仿宋"/>
        </w:rPr>
      </w:pPr>
      <w:r>
        <w:rPr>
          <w:rFonts w:hint="eastAsia" w:ascii="仿宋" w:hAnsi="仿宋" w:eastAsia="仿宋" w:cs="仿宋"/>
        </w:rPr>
        <w:t>附</w:t>
      </w:r>
      <w:r>
        <w:rPr>
          <w:rFonts w:hint="eastAsia" w:ascii="仿宋" w:hAnsi="仿宋" w:eastAsia="仿宋" w:cs="仿宋"/>
          <w:lang w:eastAsia="zh-CN"/>
        </w:rPr>
        <w:t>录</w:t>
      </w:r>
      <w:r>
        <w:rPr>
          <w:rFonts w:hint="eastAsia" w:ascii="仿宋" w:hAnsi="仿宋" w:eastAsia="仿宋" w:cs="仿宋"/>
        </w:rPr>
        <w:t>：2026年辽宁省结核病防治技能竞赛报名表</w:t>
      </w:r>
    </w:p>
    <w:p>
      <w:pPr>
        <w:widowControl/>
        <w:spacing w:after="160" w:line="278" w:lineRule="auto"/>
        <w:ind w:firstLine="0" w:firstLineChars="0"/>
        <w:jc w:val="left"/>
        <w:sectPr>
          <w:headerReference r:id="rId7" w:type="first"/>
          <w:footerReference r:id="rId10" w:type="first"/>
          <w:headerReference r:id="rId5" w:type="default"/>
          <w:footerReference r:id="rId8" w:type="default"/>
          <w:headerReference r:id="rId6" w:type="even"/>
          <w:footerReference r:id="rId9" w:type="even"/>
          <w:pgSz w:w="11906" w:h="16838"/>
          <w:pgMar w:top="2041" w:right="1587" w:bottom="1440" w:left="1587" w:header="851" w:footer="992" w:gutter="0"/>
          <w:paperSrc/>
          <w:cols w:space="0" w:num="1"/>
          <w:rtlGutter w:val="0"/>
          <w:docGrid w:type="lines" w:linePitch="445" w:charSpace="0"/>
        </w:sectPr>
      </w:pPr>
      <w:r>
        <w:br w:type="page"/>
      </w:r>
    </w:p>
    <w:p>
      <w:pPr>
        <w:ind w:firstLine="0" w:firstLineChars="0"/>
        <w:jc w:val="left"/>
        <w:rPr>
          <w:rFonts w:hint="eastAsia" w:ascii="黑体" w:hAnsi="黑体" w:eastAsia="黑体"/>
          <w:lang w:eastAsia="zh-CN"/>
        </w:rPr>
      </w:pPr>
      <w:r>
        <w:rPr>
          <w:rFonts w:hint="eastAsia" w:ascii="黑体" w:hAnsi="黑体" w:eastAsia="黑体"/>
        </w:rPr>
        <w:t>附</w:t>
      </w:r>
      <w:r>
        <w:rPr>
          <w:rFonts w:hint="eastAsia" w:ascii="黑体" w:hAnsi="黑体" w:eastAsia="黑体"/>
          <w:lang w:eastAsia="zh-CN"/>
        </w:rPr>
        <w:t>录</w:t>
      </w:r>
    </w:p>
    <w:p>
      <w:pPr>
        <w:ind w:firstLine="0" w:firstLineChars="0"/>
        <w:jc w:val="center"/>
      </w:pPr>
      <w:r>
        <w:t>2026年辽宁省结核病防治技能竞赛</w:t>
      </w:r>
      <w:r>
        <w:rPr>
          <w:rFonts w:hint="eastAsia"/>
        </w:rPr>
        <w:t>报名表</w:t>
      </w:r>
    </w:p>
    <w:p>
      <w:pPr>
        <w:ind w:firstLine="0" w:firstLineChars="0"/>
        <w:jc w:val="left"/>
        <w:rPr>
          <w:sz w:val="28"/>
          <w:szCs w:val="22"/>
          <w:u w:val="single"/>
        </w:rPr>
      </w:pPr>
      <w:r>
        <w:rPr>
          <w:rFonts w:hint="eastAsia"/>
          <w:sz w:val="28"/>
          <w:szCs w:val="22"/>
        </w:rPr>
        <w:t>填报单位：</w:t>
      </w:r>
      <w:r>
        <w:rPr>
          <w:rFonts w:hint="eastAsia"/>
          <w:sz w:val="28"/>
          <w:szCs w:val="22"/>
          <w:u w:val="single"/>
        </w:rPr>
        <w:t xml:space="preserve">                 （盖公章）</w:t>
      </w:r>
    </w:p>
    <w:tbl>
      <w:tblPr>
        <w:tblStyle w:val="17"/>
        <w:tblW w:w="15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670"/>
        <w:gridCol w:w="3291"/>
        <w:gridCol w:w="1418"/>
        <w:gridCol w:w="1445"/>
        <w:gridCol w:w="2234"/>
        <w:gridCol w:w="3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sz w:val="28"/>
                <w:szCs w:val="22"/>
              </w:rPr>
            </w:pPr>
            <w:r>
              <w:rPr>
                <w:rFonts w:hint="eastAsia"/>
                <w:sz w:val="28"/>
                <w:szCs w:val="22"/>
              </w:rPr>
              <w:t>人员</w:t>
            </w:r>
          </w:p>
        </w:tc>
        <w:tc>
          <w:tcPr>
            <w:tcW w:w="1670" w:type="dxa"/>
            <w:vAlign w:val="center"/>
          </w:tcPr>
          <w:p>
            <w:pPr>
              <w:ind w:firstLine="0" w:firstLineChars="0"/>
              <w:jc w:val="center"/>
              <w:rPr>
                <w:sz w:val="28"/>
                <w:szCs w:val="22"/>
              </w:rPr>
            </w:pPr>
            <w:r>
              <w:rPr>
                <w:rFonts w:hint="eastAsia"/>
                <w:sz w:val="28"/>
                <w:szCs w:val="22"/>
              </w:rPr>
              <w:t>姓名</w:t>
            </w:r>
          </w:p>
        </w:tc>
        <w:tc>
          <w:tcPr>
            <w:tcW w:w="3291" w:type="dxa"/>
            <w:vAlign w:val="center"/>
          </w:tcPr>
          <w:p>
            <w:pPr>
              <w:ind w:firstLine="0" w:firstLineChars="0"/>
              <w:jc w:val="center"/>
              <w:rPr>
                <w:sz w:val="28"/>
                <w:szCs w:val="22"/>
              </w:rPr>
            </w:pPr>
            <w:r>
              <w:rPr>
                <w:rFonts w:hint="eastAsia"/>
                <w:sz w:val="28"/>
                <w:szCs w:val="22"/>
              </w:rPr>
              <w:t>单位</w:t>
            </w:r>
          </w:p>
        </w:tc>
        <w:tc>
          <w:tcPr>
            <w:tcW w:w="1418" w:type="dxa"/>
            <w:vAlign w:val="center"/>
          </w:tcPr>
          <w:p>
            <w:pPr>
              <w:ind w:firstLine="0" w:firstLineChars="0"/>
              <w:jc w:val="center"/>
              <w:rPr>
                <w:sz w:val="28"/>
                <w:szCs w:val="22"/>
              </w:rPr>
            </w:pPr>
            <w:r>
              <w:rPr>
                <w:rFonts w:hint="eastAsia"/>
                <w:sz w:val="28"/>
                <w:szCs w:val="22"/>
              </w:rPr>
              <w:t>职务</w:t>
            </w:r>
          </w:p>
        </w:tc>
        <w:tc>
          <w:tcPr>
            <w:tcW w:w="1445" w:type="dxa"/>
          </w:tcPr>
          <w:p>
            <w:pPr>
              <w:ind w:firstLine="0" w:firstLineChars="0"/>
              <w:jc w:val="center"/>
              <w:rPr>
                <w:sz w:val="28"/>
                <w:szCs w:val="22"/>
              </w:rPr>
            </w:pPr>
            <w:r>
              <w:rPr>
                <w:rFonts w:hint="eastAsia"/>
                <w:sz w:val="28"/>
                <w:szCs w:val="22"/>
              </w:rPr>
              <w:t>职称</w:t>
            </w:r>
          </w:p>
        </w:tc>
        <w:tc>
          <w:tcPr>
            <w:tcW w:w="2234" w:type="dxa"/>
            <w:vAlign w:val="center"/>
          </w:tcPr>
          <w:p>
            <w:pPr>
              <w:ind w:firstLine="0" w:firstLineChars="0"/>
              <w:jc w:val="center"/>
              <w:rPr>
                <w:sz w:val="28"/>
                <w:szCs w:val="22"/>
              </w:rPr>
            </w:pPr>
            <w:r>
              <w:rPr>
                <w:rFonts w:hint="eastAsia"/>
                <w:sz w:val="28"/>
                <w:szCs w:val="22"/>
              </w:rPr>
              <w:t>手机</w:t>
            </w:r>
          </w:p>
        </w:tc>
        <w:tc>
          <w:tcPr>
            <w:tcW w:w="3408" w:type="dxa"/>
            <w:vAlign w:val="center"/>
          </w:tcPr>
          <w:p>
            <w:pPr>
              <w:ind w:firstLine="0" w:firstLineChars="0"/>
              <w:jc w:val="center"/>
              <w:rPr>
                <w:sz w:val="28"/>
                <w:szCs w:val="22"/>
              </w:rPr>
            </w:pPr>
            <w:r>
              <w:rPr>
                <w:rFonts w:hint="eastAsia"/>
                <w:sz w:val="28"/>
                <w:szCs w:val="22"/>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sz w:val="28"/>
                <w:szCs w:val="22"/>
              </w:rPr>
            </w:pPr>
            <w:r>
              <w:rPr>
                <w:rFonts w:hint="eastAsia"/>
                <w:sz w:val="28"/>
                <w:szCs w:val="22"/>
              </w:rPr>
              <w:t>领队</w:t>
            </w:r>
          </w:p>
        </w:tc>
        <w:tc>
          <w:tcPr>
            <w:tcW w:w="1670" w:type="dxa"/>
            <w:vAlign w:val="center"/>
          </w:tcPr>
          <w:p>
            <w:pPr>
              <w:ind w:firstLine="0" w:firstLineChars="0"/>
              <w:jc w:val="center"/>
              <w:rPr>
                <w:sz w:val="28"/>
                <w:szCs w:val="22"/>
              </w:rPr>
            </w:pPr>
          </w:p>
        </w:tc>
        <w:tc>
          <w:tcPr>
            <w:tcW w:w="3291" w:type="dxa"/>
            <w:vAlign w:val="center"/>
          </w:tcPr>
          <w:p>
            <w:pPr>
              <w:ind w:firstLine="0" w:firstLineChars="0"/>
              <w:jc w:val="center"/>
              <w:rPr>
                <w:sz w:val="28"/>
                <w:szCs w:val="22"/>
              </w:rPr>
            </w:pPr>
          </w:p>
        </w:tc>
        <w:tc>
          <w:tcPr>
            <w:tcW w:w="1418" w:type="dxa"/>
            <w:vAlign w:val="center"/>
          </w:tcPr>
          <w:p>
            <w:pPr>
              <w:ind w:firstLine="0" w:firstLineChars="0"/>
              <w:jc w:val="center"/>
              <w:rPr>
                <w:sz w:val="28"/>
                <w:szCs w:val="22"/>
              </w:rPr>
            </w:pPr>
          </w:p>
        </w:tc>
        <w:tc>
          <w:tcPr>
            <w:tcW w:w="1445" w:type="dxa"/>
          </w:tcPr>
          <w:p>
            <w:pPr>
              <w:ind w:firstLine="0" w:firstLineChars="0"/>
              <w:jc w:val="center"/>
              <w:rPr>
                <w:sz w:val="28"/>
                <w:szCs w:val="22"/>
              </w:rPr>
            </w:pPr>
          </w:p>
        </w:tc>
        <w:tc>
          <w:tcPr>
            <w:tcW w:w="2234" w:type="dxa"/>
            <w:vAlign w:val="center"/>
          </w:tcPr>
          <w:p>
            <w:pPr>
              <w:ind w:firstLine="0" w:firstLineChars="0"/>
              <w:jc w:val="center"/>
              <w:rPr>
                <w:sz w:val="28"/>
                <w:szCs w:val="22"/>
              </w:rPr>
            </w:pPr>
          </w:p>
        </w:tc>
        <w:tc>
          <w:tcPr>
            <w:tcW w:w="3408" w:type="dxa"/>
            <w:vAlign w:val="center"/>
          </w:tcPr>
          <w:p>
            <w:pPr>
              <w:ind w:firstLine="0" w:firstLineChars="0"/>
              <w:jc w:val="center"/>
              <w:rPr>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sz w:val="28"/>
                <w:szCs w:val="22"/>
              </w:rPr>
            </w:pPr>
            <w:r>
              <w:rPr>
                <w:rFonts w:hint="eastAsia"/>
                <w:sz w:val="28"/>
                <w:szCs w:val="22"/>
              </w:rPr>
              <w:t>预防组队员1</w:t>
            </w:r>
          </w:p>
        </w:tc>
        <w:tc>
          <w:tcPr>
            <w:tcW w:w="1670" w:type="dxa"/>
            <w:vAlign w:val="center"/>
          </w:tcPr>
          <w:p>
            <w:pPr>
              <w:ind w:firstLine="0" w:firstLineChars="0"/>
              <w:jc w:val="center"/>
              <w:rPr>
                <w:sz w:val="28"/>
                <w:szCs w:val="22"/>
              </w:rPr>
            </w:pPr>
          </w:p>
        </w:tc>
        <w:tc>
          <w:tcPr>
            <w:tcW w:w="3291" w:type="dxa"/>
            <w:vAlign w:val="center"/>
          </w:tcPr>
          <w:p>
            <w:pPr>
              <w:ind w:firstLine="0" w:firstLineChars="0"/>
              <w:jc w:val="center"/>
              <w:rPr>
                <w:sz w:val="28"/>
                <w:szCs w:val="22"/>
              </w:rPr>
            </w:pPr>
          </w:p>
        </w:tc>
        <w:tc>
          <w:tcPr>
            <w:tcW w:w="1418" w:type="dxa"/>
            <w:vAlign w:val="center"/>
          </w:tcPr>
          <w:p>
            <w:pPr>
              <w:ind w:firstLine="0" w:firstLineChars="0"/>
              <w:jc w:val="center"/>
              <w:rPr>
                <w:sz w:val="28"/>
                <w:szCs w:val="22"/>
              </w:rPr>
            </w:pPr>
          </w:p>
        </w:tc>
        <w:tc>
          <w:tcPr>
            <w:tcW w:w="1445" w:type="dxa"/>
          </w:tcPr>
          <w:p>
            <w:pPr>
              <w:ind w:firstLine="0" w:firstLineChars="0"/>
              <w:jc w:val="center"/>
              <w:rPr>
                <w:sz w:val="28"/>
                <w:szCs w:val="22"/>
              </w:rPr>
            </w:pPr>
          </w:p>
        </w:tc>
        <w:tc>
          <w:tcPr>
            <w:tcW w:w="2234" w:type="dxa"/>
            <w:vAlign w:val="center"/>
          </w:tcPr>
          <w:p>
            <w:pPr>
              <w:ind w:firstLine="0" w:firstLineChars="0"/>
              <w:jc w:val="center"/>
              <w:rPr>
                <w:sz w:val="28"/>
                <w:szCs w:val="22"/>
              </w:rPr>
            </w:pPr>
          </w:p>
        </w:tc>
        <w:tc>
          <w:tcPr>
            <w:tcW w:w="3408" w:type="dxa"/>
            <w:vAlign w:val="center"/>
          </w:tcPr>
          <w:p>
            <w:pPr>
              <w:ind w:firstLine="0" w:firstLineChars="0"/>
              <w:jc w:val="center"/>
              <w:rPr>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sz w:val="28"/>
                <w:szCs w:val="22"/>
              </w:rPr>
            </w:pPr>
            <w:r>
              <w:rPr>
                <w:rFonts w:hint="eastAsia"/>
                <w:sz w:val="28"/>
                <w:szCs w:val="22"/>
              </w:rPr>
              <w:t>预防组队员2</w:t>
            </w:r>
          </w:p>
        </w:tc>
        <w:tc>
          <w:tcPr>
            <w:tcW w:w="1670" w:type="dxa"/>
            <w:vAlign w:val="center"/>
          </w:tcPr>
          <w:p>
            <w:pPr>
              <w:ind w:firstLine="0" w:firstLineChars="0"/>
              <w:jc w:val="center"/>
              <w:rPr>
                <w:sz w:val="28"/>
                <w:szCs w:val="22"/>
              </w:rPr>
            </w:pPr>
          </w:p>
        </w:tc>
        <w:tc>
          <w:tcPr>
            <w:tcW w:w="3291" w:type="dxa"/>
            <w:vAlign w:val="center"/>
          </w:tcPr>
          <w:p>
            <w:pPr>
              <w:ind w:firstLine="0" w:firstLineChars="0"/>
              <w:jc w:val="center"/>
              <w:rPr>
                <w:sz w:val="28"/>
                <w:szCs w:val="22"/>
              </w:rPr>
            </w:pPr>
          </w:p>
        </w:tc>
        <w:tc>
          <w:tcPr>
            <w:tcW w:w="1418" w:type="dxa"/>
            <w:vAlign w:val="center"/>
          </w:tcPr>
          <w:p>
            <w:pPr>
              <w:ind w:firstLine="0" w:firstLineChars="0"/>
              <w:jc w:val="center"/>
              <w:rPr>
                <w:sz w:val="28"/>
                <w:szCs w:val="22"/>
              </w:rPr>
            </w:pPr>
          </w:p>
        </w:tc>
        <w:tc>
          <w:tcPr>
            <w:tcW w:w="1445" w:type="dxa"/>
          </w:tcPr>
          <w:p>
            <w:pPr>
              <w:ind w:firstLine="0" w:firstLineChars="0"/>
              <w:jc w:val="center"/>
              <w:rPr>
                <w:sz w:val="28"/>
                <w:szCs w:val="22"/>
              </w:rPr>
            </w:pPr>
          </w:p>
        </w:tc>
        <w:tc>
          <w:tcPr>
            <w:tcW w:w="2234" w:type="dxa"/>
            <w:vAlign w:val="center"/>
          </w:tcPr>
          <w:p>
            <w:pPr>
              <w:ind w:firstLine="0" w:firstLineChars="0"/>
              <w:jc w:val="center"/>
              <w:rPr>
                <w:sz w:val="28"/>
                <w:szCs w:val="22"/>
              </w:rPr>
            </w:pPr>
          </w:p>
        </w:tc>
        <w:tc>
          <w:tcPr>
            <w:tcW w:w="3408" w:type="dxa"/>
            <w:vAlign w:val="center"/>
          </w:tcPr>
          <w:p>
            <w:pPr>
              <w:ind w:firstLine="0" w:firstLineChars="0"/>
              <w:jc w:val="center"/>
              <w:rPr>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rFonts w:hint="eastAsia" w:eastAsia="仿宋_GB2312"/>
                <w:sz w:val="28"/>
                <w:szCs w:val="22"/>
                <w:lang w:eastAsia="zh-CN"/>
              </w:rPr>
            </w:pPr>
            <w:r>
              <w:rPr>
                <w:rFonts w:hint="eastAsia"/>
                <w:sz w:val="28"/>
                <w:szCs w:val="22"/>
              </w:rPr>
              <w:t>预防组队员</w:t>
            </w:r>
            <w:r>
              <w:rPr>
                <w:rFonts w:hint="eastAsia"/>
                <w:sz w:val="28"/>
                <w:szCs w:val="22"/>
                <w:lang w:val="en-US" w:eastAsia="zh-CN"/>
              </w:rPr>
              <w:t>3</w:t>
            </w:r>
          </w:p>
        </w:tc>
        <w:tc>
          <w:tcPr>
            <w:tcW w:w="1670" w:type="dxa"/>
            <w:vAlign w:val="center"/>
          </w:tcPr>
          <w:p>
            <w:pPr>
              <w:ind w:firstLine="0" w:firstLineChars="0"/>
              <w:jc w:val="center"/>
              <w:rPr>
                <w:sz w:val="28"/>
                <w:szCs w:val="22"/>
              </w:rPr>
            </w:pPr>
          </w:p>
        </w:tc>
        <w:tc>
          <w:tcPr>
            <w:tcW w:w="3291" w:type="dxa"/>
            <w:vAlign w:val="center"/>
          </w:tcPr>
          <w:p>
            <w:pPr>
              <w:ind w:firstLine="0" w:firstLineChars="0"/>
              <w:jc w:val="center"/>
              <w:rPr>
                <w:sz w:val="28"/>
                <w:szCs w:val="22"/>
              </w:rPr>
            </w:pPr>
          </w:p>
        </w:tc>
        <w:tc>
          <w:tcPr>
            <w:tcW w:w="1418" w:type="dxa"/>
            <w:vAlign w:val="center"/>
          </w:tcPr>
          <w:p>
            <w:pPr>
              <w:ind w:firstLine="0" w:firstLineChars="0"/>
              <w:jc w:val="center"/>
              <w:rPr>
                <w:sz w:val="28"/>
                <w:szCs w:val="22"/>
              </w:rPr>
            </w:pPr>
          </w:p>
        </w:tc>
        <w:tc>
          <w:tcPr>
            <w:tcW w:w="1445" w:type="dxa"/>
          </w:tcPr>
          <w:p>
            <w:pPr>
              <w:ind w:firstLine="0" w:firstLineChars="0"/>
              <w:jc w:val="center"/>
              <w:rPr>
                <w:sz w:val="28"/>
                <w:szCs w:val="22"/>
              </w:rPr>
            </w:pPr>
          </w:p>
        </w:tc>
        <w:tc>
          <w:tcPr>
            <w:tcW w:w="2234" w:type="dxa"/>
            <w:vAlign w:val="center"/>
          </w:tcPr>
          <w:p>
            <w:pPr>
              <w:ind w:firstLine="0" w:firstLineChars="0"/>
              <w:jc w:val="center"/>
              <w:rPr>
                <w:sz w:val="28"/>
                <w:szCs w:val="22"/>
              </w:rPr>
            </w:pPr>
          </w:p>
        </w:tc>
        <w:tc>
          <w:tcPr>
            <w:tcW w:w="3408" w:type="dxa"/>
            <w:vAlign w:val="center"/>
          </w:tcPr>
          <w:p>
            <w:pPr>
              <w:ind w:firstLine="0" w:firstLineChars="0"/>
              <w:jc w:val="center"/>
              <w:rPr>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sz w:val="28"/>
                <w:szCs w:val="22"/>
              </w:rPr>
            </w:pPr>
            <w:r>
              <w:rPr>
                <w:rFonts w:hint="eastAsia"/>
                <w:sz w:val="28"/>
                <w:szCs w:val="22"/>
              </w:rPr>
              <w:t>临床组队员1</w:t>
            </w:r>
          </w:p>
        </w:tc>
        <w:tc>
          <w:tcPr>
            <w:tcW w:w="1670" w:type="dxa"/>
            <w:vAlign w:val="center"/>
          </w:tcPr>
          <w:p>
            <w:pPr>
              <w:ind w:firstLine="0" w:firstLineChars="0"/>
              <w:jc w:val="center"/>
              <w:rPr>
                <w:sz w:val="28"/>
                <w:szCs w:val="22"/>
              </w:rPr>
            </w:pPr>
          </w:p>
        </w:tc>
        <w:tc>
          <w:tcPr>
            <w:tcW w:w="3291" w:type="dxa"/>
            <w:vAlign w:val="center"/>
          </w:tcPr>
          <w:p>
            <w:pPr>
              <w:ind w:firstLine="0" w:firstLineChars="0"/>
              <w:jc w:val="center"/>
              <w:rPr>
                <w:sz w:val="28"/>
                <w:szCs w:val="22"/>
              </w:rPr>
            </w:pPr>
          </w:p>
        </w:tc>
        <w:tc>
          <w:tcPr>
            <w:tcW w:w="1418" w:type="dxa"/>
            <w:vAlign w:val="center"/>
          </w:tcPr>
          <w:p>
            <w:pPr>
              <w:ind w:firstLine="0" w:firstLineChars="0"/>
              <w:jc w:val="center"/>
              <w:rPr>
                <w:sz w:val="28"/>
                <w:szCs w:val="22"/>
              </w:rPr>
            </w:pPr>
          </w:p>
        </w:tc>
        <w:tc>
          <w:tcPr>
            <w:tcW w:w="1445" w:type="dxa"/>
          </w:tcPr>
          <w:p>
            <w:pPr>
              <w:ind w:firstLine="0" w:firstLineChars="0"/>
              <w:jc w:val="center"/>
              <w:rPr>
                <w:sz w:val="28"/>
                <w:szCs w:val="22"/>
              </w:rPr>
            </w:pPr>
          </w:p>
        </w:tc>
        <w:tc>
          <w:tcPr>
            <w:tcW w:w="2234" w:type="dxa"/>
            <w:vAlign w:val="center"/>
          </w:tcPr>
          <w:p>
            <w:pPr>
              <w:ind w:firstLine="0" w:firstLineChars="0"/>
              <w:jc w:val="center"/>
              <w:rPr>
                <w:sz w:val="28"/>
                <w:szCs w:val="22"/>
              </w:rPr>
            </w:pPr>
          </w:p>
        </w:tc>
        <w:tc>
          <w:tcPr>
            <w:tcW w:w="3408" w:type="dxa"/>
            <w:vAlign w:val="center"/>
          </w:tcPr>
          <w:p>
            <w:pPr>
              <w:ind w:firstLine="0" w:firstLineChars="0"/>
              <w:jc w:val="center"/>
              <w:rPr>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sz w:val="28"/>
                <w:szCs w:val="22"/>
              </w:rPr>
            </w:pPr>
            <w:r>
              <w:rPr>
                <w:rFonts w:hint="eastAsia"/>
                <w:sz w:val="28"/>
                <w:szCs w:val="22"/>
              </w:rPr>
              <w:t>临床组队员2</w:t>
            </w:r>
          </w:p>
        </w:tc>
        <w:tc>
          <w:tcPr>
            <w:tcW w:w="1670" w:type="dxa"/>
            <w:vAlign w:val="center"/>
          </w:tcPr>
          <w:p>
            <w:pPr>
              <w:ind w:firstLine="0" w:firstLineChars="0"/>
              <w:jc w:val="center"/>
              <w:rPr>
                <w:sz w:val="28"/>
                <w:szCs w:val="22"/>
              </w:rPr>
            </w:pPr>
          </w:p>
        </w:tc>
        <w:tc>
          <w:tcPr>
            <w:tcW w:w="3291" w:type="dxa"/>
            <w:vAlign w:val="center"/>
          </w:tcPr>
          <w:p>
            <w:pPr>
              <w:ind w:firstLine="0" w:firstLineChars="0"/>
              <w:jc w:val="center"/>
              <w:rPr>
                <w:sz w:val="28"/>
                <w:szCs w:val="22"/>
              </w:rPr>
            </w:pPr>
          </w:p>
        </w:tc>
        <w:tc>
          <w:tcPr>
            <w:tcW w:w="1418" w:type="dxa"/>
            <w:vAlign w:val="center"/>
          </w:tcPr>
          <w:p>
            <w:pPr>
              <w:ind w:firstLine="0" w:firstLineChars="0"/>
              <w:jc w:val="center"/>
              <w:rPr>
                <w:sz w:val="28"/>
                <w:szCs w:val="22"/>
              </w:rPr>
            </w:pPr>
          </w:p>
        </w:tc>
        <w:tc>
          <w:tcPr>
            <w:tcW w:w="1445" w:type="dxa"/>
          </w:tcPr>
          <w:p>
            <w:pPr>
              <w:ind w:firstLine="0" w:firstLineChars="0"/>
              <w:jc w:val="center"/>
              <w:rPr>
                <w:sz w:val="28"/>
                <w:szCs w:val="22"/>
              </w:rPr>
            </w:pPr>
          </w:p>
        </w:tc>
        <w:tc>
          <w:tcPr>
            <w:tcW w:w="2234" w:type="dxa"/>
            <w:vAlign w:val="center"/>
          </w:tcPr>
          <w:p>
            <w:pPr>
              <w:ind w:firstLine="0" w:firstLineChars="0"/>
              <w:jc w:val="center"/>
              <w:rPr>
                <w:sz w:val="28"/>
                <w:szCs w:val="22"/>
              </w:rPr>
            </w:pPr>
          </w:p>
        </w:tc>
        <w:tc>
          <w:tcPr>
            <w:tcW w:w="3408" w:type="dxa"/>
            <w:vAlign w:val="center"/>
          </w:tcPr>
          <w:p>
            <w:pPr>
              <w:ind w:firstLine="0" w:firstLineChars="0"/>
              <w:jc w:val="center"/>
              <w:rPr>
                <w:sz w:val="2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dxa"/>
            <w:vAlign w:val="center"/>
          </w:tcPr>
          <w:p>
            <w:pPr>
              <w:ind w:firstLine="0" w:firstLineChars="0"/>
              <w:jc w:val="center"/>
              <w:rPr>
                <w:sz w:val="28"/>
                <w:szCs w:val="22"/>
              </w:rPr>
            </w:pPr>
            <w:r>
              <w:rPr>
                <w:rFonts w:hint="eastAsia"/>
                <w:sz w:val="28"/>
                <w:szCs w:val="22"/>
              </w:rPr>
              <w:t>临床组队员3</w:t>
            </w:r>
          </w:p>
        </w:tc>
        <w:tc>
          <w:tcPr>
            <w:tcW w:w="1670" w:type="dxa"/>
            <w:vAlign w:val="center"/>
          </w:tcPr>
          <w:p>
            <w:pPr>
              <w:ind w:firstLine="0" w:firstLineChars="0"/>
              <w:jc w:val="center"/>
              <w:rPr>
                <w:sz w:val="28"/>
                <w:szCs w:val="22"/>
              </w:rPr>
            </w:pPr>
          </w:p>
        </w:tc>
        <w:tc>
          <w:tcPr>
            <w:tcW w:w="3291" w:type="dxa"/>
            <w:vAlign w:val="center"/>
          </w:tcPr>
          <w:p>
            <w:pPr>
              <w:ind w:firstLine="0" w:firstLineChars="0"/>
              <w:jc w:val="center"/>
              <w:rPr>
                <w:sz w:val="28"/>
                <w:szCs w:val="22"/>
              </w:rPr>
            </w:pPr>
          </w:p>
        </w:tc>
        <w:tc>
          <w:tcPr>
            <w:tcW w:w="1418" w:type="dxa"/>
            <w:vAlign w:val="center"/>
          </w:tcPr>
          <w:p>
            <w:pPr>
              <w:ind w:firstLine="0" w:firstLineChars="0"/>
              <w:jc w:val="center"/>
              <w:rPr>
                <w:sz w:val="28"/>
                <w:szCs w:val="22"/>
              </w:rPr>
            </w:pPr>
          </w:p>
        </w:tc>
        <w:tc>
          <w:tcPr>
            <w:tcW w:w="1445" w:type="dxa"/>
          </w:tcPr>
          <w:p>
            <w:pPr>
              <w:ind w:firstLine="0" w:firstLineChars="0"/>
              <w:jc w:val="center"/>
              <w:rPr>
                <w:sz w:val="28"/>
                <w:szCs w:val="22"/>
              </w:rPr>
            </w:pPr>
          </w:p>
        </w:tc>
        <w:tc>
          <w:tcPr>
            <w:tcW w:w="2234" w:type="dxa"/>
            <w:vAlign w:val="center"/>
          </w:tcPr>
          <w:p>
            <w:pPr>
              <w:ind w:firstLine="0" w:firstLineChars="0"/>
              <w:jc w:val="center"/>
              <w:rPr>
                <w:sz w:val="28"/>
                <w:szCs w:val="22"/>
              </w:rPr>
            </w:pPr>
          </w:p>
        </w:tc>
        <w:tc>
          <w:tcPr>
            <w:tcW w:w="3408" w:type="dxa"/>
            <w:vAlign w:val="center"/>
          </w:tcPr>
          <w:p>
            <w:pPr>
              <w:ind w:firstLine="0" w:firstLineChars="0"/>
              <w:jc w:val="center"/>
              <w:rPr>
                <w:sz w:val="28"/>
                <w:szCs w:val="22"/>
              </w:rPr>
            </w:pPr>
          </w:p>
        </w:tc>
      </w:tr>
    </w:tbl>
    <w:p>
      <w:pPr>
        <w:spacing w:line="20" w:lineRule="exact"/>
        <w:ind w:firstLine="0" w:firstLineChars="0"/>
        <w:jc w:val="left"/>
      </w:pPr>
    </w:p>
    <w:sectPr>
      <w:pgSz w:w="16838" w:h="11906" w:orient="landscape"/>
      <w:pgMar w:top="1803" w:right="1440" w:bottom="1803" w:left="1440" w:header="851" w:footer="992"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rPr>
        <w:color w:val="000000" w:themeColor="text1"/>
        <w:sz w:val="21"/>
        <w:szCs w:val="21"/>
        <w14:textFill>
          <w14:solidFill>
            <w14:schemeClr w14:val="tx1"/>
          </w14:solidFill>
        </w14:textFil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revisionView w:markup="0"/>
  <w:trackRevisions w:val="true"/>
  <w:documentProtection w:enforcement="0"/>
  <w:defaultTabStop w:val="420"/>
  <w:drawingGridHorizontalSpacing w:val="160"/>
  <w:drawingGridVerticalSpacing w:val="22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1DA"/>
    <w:rsid w:val="00025556"/>
    <w:rsid w:val="00032C9E"/>
    <w:rsid w:val="00036DB7"/>
    <w:rsid w:val="0007049B"/>
    <w:rsid w:val="000D20AD"/>
    <w:rsid w:val="000D31C1"/>
    <w:rsid w:val="000E2213"/>
    <w:rsid w:val="001A68DB"/>
    <w:rsid w:val="00233386"/>
    <w:rsid w:val="00271084"/>
    <w:rsid w:val="00337A8F"/>
    <w:rsid w:val="003505C7"/>
    <w:rsid w:val="003A758C"/>
    <w:rsid w:val="003A7A94"/>
    <w:rsid w:val="0043739E"/>
    <w:rsid w:val="004374B4"/>
    <w:rsid w:val="00455CB1"/>
    <w:rsid w:val="00477437"/>
    <w:rsid w:val="004A3B89"/>
    <w:rsid w:val="004B15DD"/>
    <w:rsid w:val="004D0776"/>
    <w:rsid w:val="004D7E2D"/>
    <w:rsid w:val="004E0782"/>
    <w:rsid w:val="004F1BFC"/>
    <w:rsid w:val="005378A1"/>
    <w:rsid w:val="005A117A"/>
    <w:rsid w:val="005C6245"/>
    <w:rsid w:val="0068001E"/>
    <w:rsid w:val="006A1C37"/>
    <w:rsid w:val="006B6020"/>
    <w:rsid w:val="00722315"/>
    <w:rsid w:val="00764873"/>
    <w:rsid w:val="007F160F"/>
    <w:rsid w:val="00804216"/>
    <w:rsid w:val="00871525"/>
    <w:rsid w:val="00891EDA"/>
    <w:rsid w:val="008971FA"/>
    <w:rsid w:val="008C19FF"/>
    <w:rsid w:val="008D02EC"/>
    <w:rsid w:val="008D61DA"/>
    <w:rsid w:val="009042AF"/>
    <w:rsid w:val="009152CC"/>
    <w:rsid w:val="009C7EB5"/>
    <w:rsid w:val="00A1100D"/>
    <w:rsid w:val="00A37A3F"/>
    <w:rsid w:val="00A51CDC"/>
    <w:rsid w:val="00A7026D"/>
    <w:rsid w:val="00A725A0"/>
    <w:rsid w:val="00AF15B8"/>
    <w:rsid w:val="00B07F1C"/>
    <w:rsid w:val="00B31804"/>
    <w:rsid w:val="00C2109B"/>
    <w:rsid w:val="00C74DCF"/>
    <w:rsid w:val="00C8677C"/>
    <w:rsid w:val="00CA1ADD"/>
    <w:rsid w:val="00CE629C"/>
    <w:rsid w:val="00D438B9"/>
    <w:rsid w:val="00D46E47"/>
    <w:rsid w:val="00ED0D5D"/>
    <w:rsid w:val="00F97414"/>
    <w:rsid w:val="1FC23893"/>
    <w:rsid w:val="30EDA5F7"/>
    <w:rsid w:val="35D3C087"/>
    <w:rsid w:val="37FFF13D"/>
    <w:rsid w:val="3DCFBC0E"/>
    <w:rsid w:val="53F7330E"/>
    <w:rsid w:val="5F5FB878"/>
    <w:rsid w:val="639E6702"/>
    <w:rsid w:val="6A68B96C"/>
    <w:rsid w:val="6DFF7906"/>
    <w:rsid w:val="7BF4D0AF"/>
    <w:rsid w:val="7DDF4B54"/>
    <w:rsid w:val="7E9FAFC3"/>
    <w:rsid w:val="7FEDC05D"/>
    <w:rsid w:val="8FFE38E2"/>
    <w:rsid w:val="9EF60FA5"/>
    <w:rsid w:val="B7E10F83"/>
    <w:rsid w:val="BACF1ABA"/>
    <w:rsid w:val="BF7FE4DB"/>
    <w:rsid w:val="CF3E8B79"/>
    <w:rsid w:val="DD6F0EDB"/>
    <w:rsid w:val="DDDE5C0C"/>
    <w:rsid w:val="EBF98671"/>
    <w:rsid w:val="FBDFAC07"/>
    <w:rsid w:val="FE8F40F5"/>
    <w:rsid w:val="FEEEB99F"/>
    <w:rsid w:val="FEFE6D91"/>
    <w:rsid w:val="FFDD0FEC"/>
    <w:rsid w:val="FFFA14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Times New Roman" w:hAnsi="Times New Roman" w:eastAsia="仿宋_GB2312" w:cstheme="minorBidi"/>
      <w:kern w:val="2"/>
      <w:sz w:val="32"/>
      <w:szCs w:val="24"/>
      <w:lang w:val="en-US" w:eastAsia="zh-CN" w:bidi="ar-SA"/>
      <w14:ligatures w14:val="standardContextual"/>
    </w:rPr>
  </w:style>
  <w:style w:type="paragraph" w:styleId="2">
    <w:name w:val="heading 1"/>
    <w:basedOn w:val="1"/>
    <w:next w:val="1"/>
    <w:link w:val="21"/>
    <w:qFormat/>
    <w:uiPriority w:val="9"/>
    <w:pPr>
      <w:outlineLvl w:val="0"/>
    </w:pPr>
    <w:rPr>
      <w:rFonts w:eastAsia="黑体"/>
      <w:bCs/>
      <w:color w:val="000000" w:themeColor="text1"/>
      <w:kern w:val="44"/>
      <w:szCs w:val="44"/>
      <w14:textFill>
        <w14:solidFill>
          <w14:schemeClr w14:val="tx1"/>
        </w14:solidFill>
      </w14:textFill>
    </w:rPr>
  </w:style>
  <w:style w:type="paragraph" w:styleId="3">
    <w:name w:val="heading 2"/>
    <w:basedOn w:val="1"/>
    <w:next w:val="1"/>
    <w:link w:val="22"/>
    <w:unhideWhenUsed/>
    <w:qFormat/>
    <w:uiPriority w:val="9"/>
    <w:pPr>
      <w:outlineLvl w:val="1"/>
    </w:pPr>
    <w:rPr>
      <w:rFonts w:eastAsia="楷体" w:cstheme="majorBidi"/>
      <w:bCs/>
      <w:color w:val="000000" w:themeColor="text1"/>
      <w:szCs w:val="32"/>
      <w14:textFill>
        <w14:solidFill>
          <w14:schemeClr w14:val="tx1"/>
        </w14:solidFill>
      </w14:textFill>
    </w:rPr>
  </w:style>
  <w:style w:type="paragraph" w:styleId="4">
    <w:name w:val="heading 3"/>
    <w:basedOn w:val="1"/>
    <w:next w:val="1"/>
    <w:link w:val="23"/>
    <w:semiHidden/>
    <w:unhideWhenUsed/>
    <w:qFormat/>
    <w:uiPriority w:val="9"/>
    <w:pPr>
      <w:outlineLvl w:val="2"/>
    </w:pPr>
    <w:rPr>
      <w:rFonts w:cstheme="majorBidi"/>
      <w:color w:val="000000" w:themeColor="text1"/>
      <w:szCs w:val="32"/>
      <w14:textFill>
        <w14:solidFill>
          <w14:schemeClr w14:val="tx1"/>
        </w14:solidFill>
      </w14:textFill>
    </w:rPr>
  </w:style>
  <w:style w:type="paragraph" w:styleId="5">
    <w:name w:val="heading 4"/>
    <w:basedOn w:val="1"/>
    <w:next w:val="1"/>
    <w:link w:val="24"/>
    <w:semiHidden/>
    <w:unhideWhenUsed/>
    <w:qFormat/>
    <w:uiPriority w:val="9"/>
    <w:pPr>
      <w:keepNext/>
      <w:keepLines/>
      <w:spacing w:before="80" w:after="40"/>
      <w:outlineLvl w:val="3"/>
    </w:pPr>
    <w:rPr>
      <w:rFonts w:eastAsiaTheme="minorEastAsia"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eastAsiaTheme="minorEastAsia" w:cstheme="majorBidi"/>
      <w:color w:val="104862" w:themeColor="accent1" w:themeShade="BF"/>
      <w:sz w:val="24"/>
    </w:rPr>
  </w:style>
  <w:style w:type="paragraph" w:styleId="7">
    <w:name w:val="heading 6"/>
    <w:basedOn w:val="1"/>
    <w:next w:val="1"/>
    <w:link w:val="26"/>
    <w:semiHidden/>
    <w:unhideWhenUsed/>
    <w:qFormat/>
    <w:uiPriority w:val="9"/>
    <w:pPr>
      <w:keepNext/>
      <w:keepLines/>
      <w:spacing w:before="40"/>
      <w:outlineLvl w:val="5"/>
    </w:pPr>
    <w:rPr>
      <w:rFonts w:eastAsiaTheme="minorEastAsia"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38"/>
    <w:unhideWhenUsed/>
    <w:qFormat/>
    <w:uiPriority w:val="99"/>
    <w:pPr>
      <w:tabs>
        <w:tab w:val="center" w:pos="4153"/>
        <w:tab w:val="right" w:pos="8306"/>
      </w:tabs>
      <w:snapToGrid w:val="0"/>
      <w:spacing w:line="240" w:lineRule="atLeast"/>
      <w:jc w:val="left"/>
    </w:pPr>
    <w:rPr>
      <w:sz w:val="18"/>
      <w:szCs w:val="18"/>
    </w:rPr>
  </w:style>
  <w:style w:type="paragraph" w:styleId="13">
    <w:name w:val="header"/>
    <w:basedOn w:val="1"/>
    <w:link w:val="37"/>
    <w:unhideWhenUsed/>
    <w:qFormat/>
    <w:uiPriority w:val="99"/>
    <w:pPr>
      <w:tabs>
        <w:tab w:val="center" w:pos="4153"/>
        <w:tab w:val="right" w:pos="8306"/>
      </w:tabs>
      <w:snapToGrid w:val="0"/>
      <w:spacing w:line="240" w:lineRule="atLeast"/>
      <w:jc w:val="center"/>
    </w:pPr>
    <w:rPr>
      <w:sz w:val="18"/>
      <w:szCs w:val="18"/>
    </w:rPr>
  </w:style>
  <w:style w:type="paragraph" w:styleId="14">
    <w:name w:val="Subtitle"/>
    <w:next w:val="1"/>
    <w:link w:val="19"/>
    <w:qFormat/>
    <w:uiPriority w:val="11"/>
    <w:pPr>
      <w:spacing w:line="360" w:lineRule="auto"/>
      <w:jc w:val="center"/>
    </w:pPr>
    <w:rPr>
      <w:rFonts w:ascii="Times New Roman" w:hAnsi="Times New Roman" w:eastAsia="楷体" w:cstheme="majorBidi"/>
      <w:color w:val="000000" w:themeColor="text1"/>
      <w:spacing w:val="15"/>
      <w:kern w:val="2"/>
      <w:sz w:val="36"/>
      <w:szCs w:val="28"/>
      <w:lang w:val="en-US" w:eastAsia="zh-CN" w:bidi="ar-SA"/>
      <w14:textFill>
        <w14:solidFill>
          <w14:schemeClr w14:val="tx1"/>
        </w14:solidFill>
      </w14:textFill>
      <w14:ligatures w14:val="standardContextual"/>
    </w:rPr>
  </w:style>
  <w:style w:type="paragraph" w:styleId="15">
    <w:name w:val="Title"/>
    <w:basedOn w:val="1"/>
    <w:next w:val="1"/>
    <w:link w:val="20"/>
    <w:qFormat/>
    <w:uiPriority w:val="10"/>
    <w:pPr>
      <w:spacing w:line="660" w:lineRule="exact"/>
      <w:ind w:firstLine="0" w:firstLineChars="0"/>
      <w:jc w:val="center"/>
    </w:pPr>
    <w:rPr>
      <w:rFonts w:ascii="方正小标宋简体" w:eastAsia="方正小标宋简体" w:cstheme="majorBidi"/>
      <w:bCs/>
      <w:color w:val="000000" w:themeColor="text1"/>
      <w:sz w:val="44"/>
      <w:szCs w:val="32"/>
      <w14:textFill>
        <w14:solidFill>
          <w14:schemeClr w14:val="tx1"/>
        </w14:solidFill>
      </w14:textFill>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副标题 字符"/>
    <w:basedOn w:val="18"/>
    <w:link w:val="14"/>
    <w:qFormat/>
    <w:uiPriority w:val="11"/>
    <w:rPr>
      <w:rFonts w:ascii="Times New Roman" w:hAnsi="Times New Roman" w:eastAsia="楷体" w:cstheme="majorBidi"/>
      <w:color w:val="000000" w:themeColor="text1"/>
      <w:spacing w:val="15"/>
      <w:sz w:val="36"/>
      <w:szCs w:val="28"/>
      <w14:textFill>
        <w14:solidFill>
          <w14:schemeClr w14:val="tx1"/>
        </w14:solidFill>
      </w14:textFill>
    </w:rPr>
  </w:style>
  <w:style w:type="character" w:customStyle="1" w:styleId="20">
    <w:name w:val="标题 字符"/>
    <w:basedOn w:val="18"/>
    <w:link w:val="15"/>
    <w:qFormat/>
    <w:uiPriority w:val="10"/>
    <w:rPr>
      <w:rFonts w:ascii="方正小标宋简体" w:hAnsi="Times New Roman" w:eastAsia="方正小标宋简体" w:cstheme="majorBidi"/>
      <w:bCs/>
      <w:color w:val="000000" w:themeColor="text1"/>
      <w:sz w:val="44"/>
      <w:szCs w:val="32"/>
      <w14:textFill>
        <w14:solidFill>
          <w14:schemeClr w14:val="tx1"/>
        </w14:solidFill>
      </w14:textFill>
    </w:rPr>
  </w:style>
  <w:style w:type="character" w:customStyle="1" w:styleId="21">
    <w:name w:val="标题 1 字符"/>
    <w:basedOn w:val="18"/>
    <w:link w:val="2"/>
    <w:qFormat/>
    <w:uiPriority w:val="9"/>
    <w:rPr>
      <w:rFonts w:ascii="Times New Roman" w:hAnsi="Times New Roman" w:eastAsia="黑体"/>
      <w:bCs/>
      <w:color w:val="000000" w:themeColor="text1"/>
      <w:kern w:val="44"/>
      <w:sz w:val="32"/>
      <w:szCs w:val="44"/>
      <w14:textFill>
        <w14:solidFill>
          <w14:schemeClr w14:val="tx1"/>
        </w14:solidFill>
      </w14:textFill>
    </w:rPr>
  </w:style>
  <w:style w:type="character" w:customStyle="1" w:styleId="22">
    <w:name w:val="标题 2 字符"/>
    <w:basedOn w:val="18"/>
    <w:link w:val="3"/>
    <w:qFormat/>
    <w:uiPriority w:val="9"/>
    <w:rPr>
      <w:rFonts w:ascii="Times New Roman" w:hAnsi="Times New Roman" w:eastAsia="楷体" w:cstheme="majorBidi"/>
      <w:bCs/>
      <w:color w:val="000000" w:themeColor="text1"/>
      <w:sz w:val="32"/>
      <w:szCs w:val="32"/>
      <w14:textFill>
        <w14:solidFill>
          <w14:schemeClr w14:val="tx1"/>
        </w14:solidFill>
      </w14:textFill>
    </w:rPr>
  </w:style>
  <w:style w:type="character" w:customStyle="1" w:styleId="23">
    <w:name w:val="标题 3 字符"/>
    <w:basedOn w:val="18"/>
    <w:link w:val="4"/>
    <w:semiHidden/>
    <w:qFormat/>
    <w:uiPriority w:val="9"/>
    <w:rPr>
      <w:rFonts w:ascii="Times New Roman" w:hAnsi="Times New Roman" w:eastAsia="仿宋_GB2312" w:cstheme="majorBidi"/>
      <w:color w:val="000000" w:themeColor="text1"/>
      <w:sz w:val="32"/>
      <w:szCs w:val="32"/>
      <w14:textFill>
        <w14:solidFill>
          <w14:schemeClr w14:val="tx1"/>
        </w14:solidFill>
      </w14:textFill>
    </w:rPr>
  </w:style>
  <w:style w:type="character" w:customStyle="1" w:styleId="24">
    <w:name w:val="标题 4 字符"/>
    <w:basedOn w:val="18"/>
    <w:link w:val="5"/>
    <w:semiHidden/>
    <w:qFormat/>
    <w:uiPriority w:val="9"/>
    <w:rPr>
      <w:rFonts w:cstheme="majorBidi"/>
      <w:color w:val="104862" w:themeColor="accent1" w:themeShade="BF"/>
      <w:sz w:val="28"/>
      <w:szCs w:val="28"/>
    </w:rPr>
  </w:style>
  <w:style w:type="character" w:customStyle="1" w:styleId="25">
    <w:name w:val="标题 5 字符"/>
    <w:basedOn w:val="18"/>
    <w:link w:val="6"/>
    <w:semiHidden/>
    <w:qFormat/>
    <w:uiPriority w:val="9"/>
    <w:rPr>
      <w:rFonts w:cstheme="majorBidi"/>
      <w:color w:val="104862" w:themeColor="accent1" w:themeShade="BF"/>
      <w:sz w:val="24"/>
    </w:rPr>
  </w:style>
  <w:style w:type="character" w:customStyle="1" w:styleId="26">
    <w:name w:val="标题 6 字符"/>
    <w:basedOn w:val="18"/>
    <w:link w:val="7"/>
    <w:semiHidden/>
    <w:qFormat/>
    <w:uiPriority w:val="9"/>
    <w:rPr>
      <w:rFonts w:cstheme="majorBidi"/>
      <w:b/>
      <w:bCs/>
      <w:color w:val="104862" w:themeColor="accent1" w:themeShade="BF"/>
      <w:sz w:val="32"/>
    </w:rPr>
  </w:style>
  <w:style w:type="character" w:customStyle="1" w:styleId="27">
    <w:name w:val="标题 7 字符"/>
    <w:basedOn w:val="18"/>
    <w:link w:val="8"/>
    <w:semiHidden/>
    <w:qFormat/>
    <w:uiPriority w:val="9"/>
    <w:rPr>
      <w:rFonts w:cstheme="majorBidi"/>
      <w:b/>
      <w:bCs/>
      <w:color w:val="595959" w:themeColor="text1" w:themeTint="A6"/>
      <w:sz w:val="32"/>
      <w14:textFill>
        <w14:solidFill>
          <w14:schemeClr w14:val="tx1">
            <w14:lumMod w14:val="65000"/>
            <w14:lumOff w14:val="35000"/>
          </w14:schemeClr>
        </w14:solidFill>
      </w14:textFill>
    </w:rPr>
  </w:style>
  <w:style w:type="character" w:customStyle="1" w:styleId="28">
    <w:name w:val="标题 8 字符"/>
    <w:basedOn w:val="18"/>
    <w:link w:val="9"/>
    <w:semiHidden/>
    <w:qFormat/>
    <w:uiPriority w:val="9"/>
    <w:rPr>
      <w:rFonts w:cstheme="majorBidi"/>
      <w:color w:val="595959" w:themeColor="text1" w:themeTint="A6"/>
      <w:sz w:val="32"/>
      <w14:textFill>
        <w14:solidFill>
          <w14:schemeClr w14:val="tx1">
            <w14:lumMod w14:val="65000"/>
            <w14:lumOff w14:val="35000"/>
          </w14:schemeClr>
        </w14:solidFill>
      </w14:textFill>
    </w:rPr>
  </w:style>
  <w:style w:type="character" w:customStyle="1" w:styleId="29">
    <w:name w:val="标题 9 字符"/>
    <w:basedOn w:val="18"/>
    <w:link w:val="10"/>
    <w:semiHidden/>
    <w:qFormat/>
    <w:uiPriority w:val="9"/>
    <w:rPr>
      <w:rFonts w:eastAsiaTheme="majorEastAsia" w:cstheme="majorBidi"/>
      <w:color w:val="595959" w:themeColor="text1" w:themeTint="A6"/>
      <w:sz w:val="32"/>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8"/>
    <w:link w:val="30"/>
    <w:qFormat/>
    <w:uiPriority w:val="29"/>
    <w:rPr>
      <w:rFonts w:eastAsia="仿宋_GB2312"/>
      <w:i/>
      <w:iCs/>
      <w:color w:val="404040" w:themeColor="text1" w:themeTint="BF"/>
      <w:sz w:val="32"/>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8"/>
    <w:link w:val="34"/>
    <w:qFormat/>
    <w:uiPriority w:val="30"/>
    <w:rPr>
      <w:rFonts w:eastAsia="仿宋_GB2312"/>
      <w:i/>
      <w:iCs/>
      <w:color w:val="104862" w:themeColor="accent1" w:themeShade="BF"/>
      <w:sz w:val="32"/>
    </w:rPr>
  </w:style>
  <w:style w:type="character" w:customStyle="1" w:styleId="36">
    <w:name w:val="明显参考1"/>
    <w:basedOn w:val="18"/>
    <w:qFormat/>
    <w:uiPriority w:val="32"/>
    <w:rPr>
      <w:b/>
      <w:bCs/>
      <w:smallCaps/>
      <w:color w:val="104862" w:themeColor="accent1" w:themeShade="BF"/>
      <w:spacing w:val="5"/>
    </w:rPr>
  </w:style>
  <w:style w:type="character" w:customStyle="1" w:styleId="37">
    <w:name w:val="页眉 字符"/>
    <w:basedOn w:val="18"/>
    <w:link w:val="13"/>
    <w:qFormat/>
    <w:uiPriority w:val="99"/>
    <w:rPr>
      <w:rFonts w:ascii="Times New Roman" w:hAnsi="Times New Roman" w:eastAsia="仿宋_GB2312"/>
      <w:sz w:val="18"/>
      <w:szCs w:val="18"/>
    </w:rPr>
  </w:style>
  <w:style w:type="character" w:customStyle="1" w:styleId="38">
    <w:name w:val="页脚 字符"/>
    <w:basedOn w:val="18"/>
    <w:link w:val="12"/>
    <w:qFormat/>
    <w:uiPriority w:val="99"/>
    <w:rPr>
      <w:rFonts w:ascii="Times New Roman" w:hAnsi="Times New Roman" w:eastAsia="仿宋_GB2312"/>
      <w:sz w:val="18"/>
      <w:szCs w:val="18"/>
    </w:rPr>
  </w:style>
  <w:style w:type="paragraph" w:customStyle="1" w:styleId="39">
    <w:name w:val="Revision"/>
    <w:hidden/>
    <w:unhideWhenUsed/>
    <w:qFormat/>
    <w:uiPriority w:val="99"/>
    <w:rPr>
      <w:rFonts w:ascii="Times New Roman" w:hAnsi="Times New Roman" w:eastAsia="仿宋_GB2312" w:cstheme="minorBidi"/>
      <w:kern w:val="2"/>
      <w:sz w:val="3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405</Words>
  <Characters>2314</Characters>
  <Lines>19</Lines>
  <Paragraphs>5</Paragraphs>
  <TotalTime>20</TotalTime>
  <ScaleCrop>false</ScaleCrop>
  <LinksUpToDate>false</LinksUpToDate>
  <CharactersWithSpaces>2714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2026-05-25T01:26:00Z</dcterms:created>
  <dc:creator>王子江</dc:creator>
  <cp:lastModifiedBy>thtf</cp:lastModifiedBy>
  <cp:lastPrinted>2026-08-07T15:52:57Z</cp:lastPrinted>
  <dcterms:modified xsi:type="dcterms:W3CDTF">2026-08-07T15:53:00Z</dcterms:modified>
  <dc:title>附件6</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67CE308F7EB33306C801706A977B5BC5</vt:lpwstr>
  </property>
</Properties>
</file>